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F8419" w14:textId="3EA2B3B8" w:rsidR="00C52012" w:rsidRDefault="00C52012" w:rsidP="00C52012">
      <w:pPr>
        <w:rPr>
          <w:rStyle w:val="s1"/>
          <w:rFonts w:ascii="Arial" w:hAnsi="Arial" w:cs="Arial"/>
          <w:b/>
          <w:bCs/>
          <w:sz w:val="32"/>
          <w:szCs w:val="32"/>
        </w:rPr>
      </w:pPr>
      <w:r w:rsidRPr="00D46B01">
        <w:rPr>
          <w:rStyle w:val="s1"/>
          <w:rFonts w:ascii="Arial" w:hAnsi="Arial" w:cs="Arial"/>
          <w:b/>
          <w:bCs/>
          <w:sz w:val="32"/>
          <w:szCs w:val="32"/>
        </w:rPr>
        <w:t>3. INDUSTRIAL ACTIVITIES</w:t>
      </w:r>
    </w:p>
    <w:p w14:paraId="02D57629" w14:textId="77777777" w:rsidR="00C52012" w:rsidRPr="00C52012" w:rsidRDefault="00C52012" w:rsidP="00C52012">
      <w:pPr>
        <w:rPr>
          <w:rStyle w:val="s1"/>
          <w:rFonts w:ascii="Arial" w:hAnsi="Arial" w:cs="Arial"/>
          <w:b/>
          <w:bCs/>
          <w:sz w:val="32"/>
          <w:szCs w:val="32"/>
        </w:rPr>
      </w:pPr>
    </w:p>
    <w:p w14:paraId="20EF7B11" w14:textId="51A33EC6" w:rsidR="00BC72F1" w:rsidRPr="00C52012" w:rsidRDefault="00C52012" w:rsidP="00C52012">
      <w:pPr>
        <w:rPr>
          <w:b/>
          <w:bCs/>
        </w:rPr>
      </w:pPr>
      <w:r w:rsidRPr="00C52012">
        <w:rPr>
          <w:rStyle w:val="s1"/>
          <w:rFonts w:ascii="Arial" w:hAnsi="Arial" w:cs="Arial"/>
          <w:b/>
          <w:bCs/>
        </w:rPr>
        <w:t xml:space="preserve">3.5 </w:t>
      </w:r>
      <w:r w:rsidR="00BC72F1" w:rsidRPr="00C52012">
        <w:rPr>
          <w:rStyle w:val="s1"/>
          <w:rFonts w:ascii="Arial" w:hAnsi="Arial" w:cs="Arial"/>
          <w:b/>
          <w:bCs/>
        </w:rPr>
        <w:t>Employment and Labor</w:t>
      </w:r>
    </w:p>
    <w:p w14:paraId="1E50F15A" w14:textId="77777777" w:rsidR="000B0E62" w:rsidRPr="00C52012" w:rsidRDefault="00702F32" w:rsidP="00C52012">
      <w:pPr>
        <w:spacing w:line="276" w:lineRule="auto"/>
        <w:rPr>
          <w:rFonts w:ascii="Arial" w:hAnsi="Arial" w:cs="Arial"/>
          <w:sz w:val="22"/>
          <w:szCs w:val="22"/>
        </w:rPr>
      </w:pPr>
    </w:p>
    <w:p w14:paraId="37111D0F" w14:textId="7B17E100" w:rsidR="00BC72F1" w:rsidRPr="00C52012" w:rsidRDefault="00C52012" w:rsidP="00C52012">
      <w:pPr>
        <w:spacing w:line="276" w:lineRule="auto"/>
        <w:rPr>
          <w:rFonts w:ascii="Arial" w:hAnsi="Arial" w:cs="Arial"/>
          <w:sz w:val="22"/>
          <w:szCs w:val="22"/>
        </w:rPr>
      </w:pPr>
      <w:r w:rsidRPr="00C52012">
        <w:rPr>
          <w:rFonts w:ascii="Arial" w:hAnsi="Arial" w:cs="Arial"/>
          <w:sz w:val="22"/>
          <w:szCs w:val="22"/>
        </w:rPr>
        <w:t xml:space="preserve">&lt;drawing&gt; </w:t>
      </w:r>
      <w:r w:rsidRPr="00C52012">
        <w:rPr>
          <w:rStyle w:val="s1"/>
          <w:rFonts w:ascii="Arial" w:hAnsi="Arial" w:cs="Arial"/>
          <w:sz w:val="22"/>
          <w:szCs w:val="22"/>
        </w:rPr>
        <w:t>Employment and Labor</w:t>
      </w:r>
    </w:p>
    <w:p w14:paraId="1299E4EF" w14:textId="77777777" w:rsidR="00C52012" w:rsidRPr="00C52012" w:rsidRDefault="00C52012" w:rsidP="00C52012">
      <w:pPr>
        <w:spacing w:line="276" w:lineRule="auto"/>
        <w:rPr>
          <w:rFonts w:ascii="Arial" w:hAnsi="Arial" w:cs="Arial" w:hint="eastAsia"/>
          <w:sz w:val="22"/>
          <w:szCs w:val="22"/>
        </w:rPr>
      </w:pPr>
    </w:p>
    <w:p w14:paraId="2694A42A" w14:textId="44DED4B1" w:rsidR="00BC72F1" w:rsidRPr="00C52012" w:rsidRDefault="00C52012" w:rsidP="00C52012">
      <w:pPr>
        <w:spacing w:line="276" w:lineRule="auto"/>
        <w:rPr>
          <w:rFonts w:ascii="Arial" w:hAnsi="Arial" w:cs="Arial"/>
          <w:kern w:val="0"/>
          <w:sz w:val="22"/>
          <w:szCs w:val="22"/>
        </w:rPr>
      </w:pPr>
      <w:r>
        <w:rPr>
          <w:rFonts w:ascii="Arial" w:hAnsi="Arial" w:cs="Arial"/>
          <w:spacing w:val="-2"/>
          <w:kern w:val="0"/>
          <w:sz w:val="22"/>
          <w:szCs w:val="22"/>
        </w:rPr>
        <w:t xml:space="preserve"> </w:t>
      </w:r>
      <w:r w:rsidR="00BC72F1" w:rsidRPr="00C52012">
        <w:rPr>
          <w:rFonts w:ascii="Arial" w:hAnsi="Arial" w:cs="Arial"/>
          <w:spacing w:val="-2"/>
          <w:kern w:val="0"/>
          <w:sz w:val="22"/>
          <w:szCs w:val="22"/>
        </w:rPr>
        <w:t>Labor refers to any work performed by humans, including all operations in the agriculture, manufacturing and service industries that generate employment. The analysis of employment will reveal information about human resources and the status of labor market activities. It is important to monitor the growth and decline of the labor market, which directly impacts household income.</w:t>
      </w:r>
    </w:p>
    <w:p w14:paraId="2F6A9F53" w14:textId="77777777" w:rsidR="00BC72F1" w:rsidRPr="00C52012" w:rsidRDefault="00BC72F1" w:rsidP="00C52012">
      <w:pPr>
        <w:spacing w:line="276" w:lineRule="auto"/>
        <w:rPr>
          <w:rFonts w:ascii="Arial" w:hAnsi="Arial" w:cs="Arial"/>
          <w:kern w:val="0"/>
          <w:sz w:val="22"/>
          <w:szCs w:val="22"/>
        </w:rPr>
      </w:pPr>
      <w:r w:rsidRPr="00C52012">
        <w:rPr>
          <w:rFonts w:ascii="Arial" w:hAnsi="Arial" w:cs="Arial"/>
          <w:spacing w:val="-2"/>
          <w:kern w:val="0"/>
          <w:sz w:val="22"/>
          <w:szCs w:val="22"/>
        </w:rPr>
        <w:t xml:space="preserve">The Korean economy after the Korean War can be characterized by the processes of industrialization, service economization, globalization, and knowledge-based </w:t>
      </w:r>
      <w:proofErr w:type="spellStart"/>
      <w:r w:rsidRPr="00C52012">
        <w:rPr>
          <w:rFonts w:ascii="Arial" w:hAnsi="Arial" w:cs="Arial"/>
          <w:spacing w:val="-2"/>
          <w:kern w:val="0"/>
          <w:sz w:val="22"/>
          <w:szCs w:val="22"/>
        </w:rPr>
        <w:t>informationalization</w:t>
      </w:r>
      <w:proofErr w:type="spellEnd"/>
      <w:r w:rsidRPr="00C52012">
        <w:rPr>
          <w:rFonts w:ascii="Arial" w:hAnsi="Arial" w:cs="Arial"/>
          <w:spacing w:val="-2"/>
          <w:kern w:val="0"/>
          <w:sz w:val="22"/>
          <w:szCs w:val="22"/>
        </w:rPr>
        <w:t xml:space="preserve">. Until the 1960s, the Korean economy was classified as a typical less developed economy that was largely based on its primary industrial sector. Since then, with strong government initiatives to industrialize the country, the manufacturing sector has grown rapidly and provided more jobs for young and middle-aged employees. Although the manufacturing industry started to slow down after it reached its peak in the 1990s, the service industry experienced steady growth, and the Korean economy eventually became mostly </w:t>
      </w:r>
      <w:proofErr w:type="gramStart"/>
      <w:r w:rsidRPr="00C52012">
        <w:rPr>
          <w:rFonts w:ascii="Arial" w:hAnsi="Arial" w:cs="Arial"/>
          <w:spacing w:val="-2"/>
          <w:kern w:val="0"/>
          <w:sz w:val="22"/>
          <w:szCs w:val="22"/>
        </w:rPr>
        <w:t>service-oriented</w:t>
      </w:r>
      <w:proofErr w:type="gramEnd"/>
      <w:r w:rsidRPr="00C52012">
        <w:rPr>
          <w:rFonts w:ascii="Arial" w:hAnsi="Arial" w:cs="Arial"/>
          <w:spacing w:val="-2"/>
          <w:kern w:val="0"/>
          <w:sz w:val="22"/>
          <w:szCs w:val="22"/>
        </w:rPr>
        <w:t>. Subsequently, several employment changes have been made in the labor market following the change from the manufacturing industry to the service industry. As there was more demand for an intellectual labor force than a physical labor force, the demand for higher education in employment increased. While domestic workers avoided physical labor in manufacturing jobs, more foreign workers found jobs in the manufacturing sector. Increased employment in the service sector resulted in more female employees participating in economic activities, particularly as more women obtained higher education degrees. As a result, the rate of female employment has increased in professional, technical, and management positions. During the 1990s, Korea's active participation in globalization, advanced communication skills, and faster flow of information coupled with knowledge combined to gain new growth motivations that accelerated the rate of higher education among employees.</w:t>
      </w:r>
    </w:p>
    <w:p w14:paraId="286EF23E" w14:textId="77777777" w:rsidR="00BC72F1" w:rsidRPr="00C52012" w:rsidRDefault="00BC72F1" w:rsidP="00C52012">
      <w:pPr>
        <w:spacing w:line="276" w:lineRule="auto"/>
        <w:rPr>
          <w:rFonts w:ascii="Arial" w:hAnsi="Arial" w:cs="Arial"/>
          <w:kern w:val="0"/>
          <w:sz w:val="22"/>
          <w:szCs w:val="22"/>
        </w:rPr>
      </w:pPr>
      <w:r w:rsidRPr="00C52012">
        <w:rPr>
          <w:rFonts w:ascii="Arial" w:hAnsi="Arial" w:cs="Arial"/>
          <w:spacing w:val="-2"/>
          <w:kern w:val="0"/>
          <w:sz w:val="22"/>
          <w:szCs w:val="22"/>
        </w:rPr>
        <w:t>The average age of employees has increased since 1983 when the crude birth rate, which remains low, fell below 2.1. A higher unemployment rate for young workers became a social issue. In recent years, employment prospects have become pessimistic as investors' confidence has shrunk due to the worldwide economic crisis and the consequential slow rate of economic growth. The Korean government has made multi-faceted efforts to provide good quality employment opportunities for both young and mature employment seekers.</w:t>
      </w:r>
    </w:p>
    <w:p w14:paraId="43500C1D" w14:textId="142879E6" w:rsidR="00BC72F1" w:rsidRDefault="00BC72F1" w:rsidP="00C52012">
      <w:pPr>
        <w:spacing w:line="276" w:lineRule="auto"/>
        <w:rPr>
          <w:rFonts w:ascii="Arial" w:hAnsi="Arial" w:cs="Arial"/>
          <w:sz w:val="22"/>
          <w:szCs w:val="22"/>
        </w:rPr>
      </w:pPr>
    </w:p>
    <w:p w14:paraId="1A583465" w14:textId="77777777" w:rsidR="00C52012" w:rsidRDefault="00C5201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50726107" w14:textId="46112228" w:rsidR="00C52012" w:rsidRPr="00C52012" w:rsidRDefault="00C52012" w:rsidP="00C52012">
      <w:pPr>
        <w:spacing w:line="276" w:lineRule="auto"/>
        <w:rPr>
          <w:rFonts w:ascii="Arial" w:hAnsi="Arial" w:cs="Arial"/>
          <w:b/>
          <w:bCs/>
          <w:kern w:val="0"/>
          <w:sz w:val="22"/>
          <w:szCs w:val="22"/>
        </w:rPr>
      </w:pPr>
      <w:r w:rsidRPr="00C52012">
        <w:rPr>
          <w:rFonts w:ascii="Arial" w:hAnsi="Arial" w:cs="Arial"/>
          <w:b/>
          <w:bCs/>
          <w:spacing w:val="-5"/>
          <w:kern w:val="0"/>
          <w:sz w:val="22"/>
          <w:szCs w:val="22"/>
        </w:rPr>
        <w:lastRenderedPageBreak/>
        <w:t>Employment and Unemployment</w:t>
      </w:r>
    </w:p>
    <w:p w14:paraId="6FD933BC" w14:textId="7AA2A290" w:rsidR="00C52012" w:rsidRDefault="00C52012" w:rsidP="00C52012">
      <w:pPr>
        <w:spacing w:line="276" w:lineRule="auto"/>
        <w:rPr>
          <w:rFonts w:ascii="Arial" w:hAnsi="Arial" w:cs="Arial"/>
          <w:sz w:val="22"/>
          <w:szCs w:val="22"/>
        </w:rPr>
      </w:pPr>
    </w:p>
    <w:p w14:paraId="4C436479" w14:textId="48A1D77D" w:rsidR="00C52012" w:rsidRDefault="00C52012" w:rsidP="00C52012">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map&gt; </w:t>
      </w:r>
      <w:r w:rsidRPr="00C52012">
        <w:rPr>
          <w:rFonts w:ascii="Arial" w:hAnsi="Arial" w:cs="Arial"/>
          <w:sz w:val="22"/>
          <w:szCs w:val="22"/>
        </w:rPr>
        <w:t>Employment and Unemployment (2020)</w:t>
      </w:r>
    </w:p>
    <w:p w14:paraId="57F7D389" w14:textId="43E0FE6F" w:rsidR="00C52012" w:rsidRDefault="00C52012" w:rsidP="00C52012">
      <w:pPr>
        <w:spacing w:line="276" w:lineRule="auto"/>
        <w:rPr>
          <w:rFonts w:ascii="Arial" w:hAnsi="Arial" w:cs="Arial"/>
          <w:sz w:val="22"/>
          <w:szCs w:val="22"/>
        </w:rPr>
      </w:pPr>
      <w:r>
        <w:rPr>
          <w:rFonts w:ascii="Arial" w:hAnsi="Arial" w:cs="Arial" w:hint="eastAsia"/>
          <w:sz w:val="22"/>
          <w:szCs w:val="22"/>
        </w:rPr>
        <w:t>&lt;</w:t>
      </w:r>
      <w:r>
        <w:rPr>
          <w:rFonts w:ascii="Arial" w:hAnsi="Arial" w:cs="Arial"/>
          <w:sz w:val="22"/>
          <w:szCs w:val="22"/>
        </w:rPr>
        <w:t xml:space="preserve">graph&gt; </w:t>
      </w:r>
      <w:r w:rsidRPr="00C52012">
        <w:rPr>
          <w:rFonts w:ascii="Arial" w:hAnsi="Arial" w:cs="Arial"/>
          <w:sz w:val="22"/>
          <w:szCs w:val="22"/>
        </w:rPr>
        <w:t>Changes in Labor Force Participation Rate, Employment Rate, and Unemployment Rate (2000 – 2020)</w:t>
      </w:r>
    </w:p>
    <w:p w14:paraId="796206C8" w14:textId="77777777" w:rsidR="00C52012" w:rsidRPr="00C52012" w:rsidRDefault="00C52012" w:rsidP="00C52012">
      <w:pPr>
        <w:spacing w:line="276" w:lineRule="auto"/>
        <w:rPr>
          <w:rFonts w:ascii="Arial" w:hAnsi="Arial" w:cs="Arial" w:hint="eastAsia"/>
          <w:sz w:val="22"/>
          <w:szCs w:val="22"/>
        </w:rPr>
      </w:pPr>
    </w:p>
    <w:p w14:paraId="70ED9B56"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As of 2020, the total employable population over 15 was about 44.8 million. Of that, the economically inactive population, those not actively searching for jobs for reasons such as child-rearing, homemaking, being in school, national defense, or any other social reason, was 16.8 million. Therefore, the economically active population that is currently employed or actively searching for jobs was 28.0 million. In 2000, the economic activity rate was 61.5%, and it has remained steady at around 60 to 63%. The overall economic activity rate has remained higher in the larger metropolitan areas due to the higher demand for employment.</w:t>
      </w:r>
    </w:p>
    <w:p w14:paraId="666D142C"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The economically active population can be divided into employed and unemployed people. In 2020, the employed population was 26.9 million, while the unemployed population was 1.1 million. During the economic crisis, the employment rate (based on the total employable population over 15) fell to 56.7% in the late 1990s but gradually recovered to the previous level, reaching 60.1% in 2020. On the other hand, during the economic crisis, the unemployment rate (the ratio of unemployed people to the total economically active population) reached 6.3% but had fallen to 4.0% by 2020.</w:t>
      </w:r>
    </w:p>
    <w:p w14:paraId="01ABC56A" w14:textId="77777777" w:rsidR="00BC72F1" w:rsidRPr="00C52012" w:rsidRDefault="00BC72F1" w:rsidP="00C52012">
      <w:pPr>
        <w:spacing w:line="276" w:lineRule="auto"/>
        <w:rPr>
          <w:rFonts w:ascii="Arial" w:hAnsi="Arial" w:cs="Arial"/>
          <w:sz w:val="22"/>
          <w:szCs w:val="22"/>
        </w:rPr>
      </w:pPr>
    </w:p>
    <w:p w14:paraId="35C1166D" w14:textId="77777777" w:rsidR="00BC72F1" w:rsidRPr="00C52012" w:rsidRDefault="00BC72F1" w:rsidP="00C52012">
      <w:pPr>
        <w:spacing w:line="276" w:lineRule="auto"/>
        <w:rPr>
          <w:rFonts w:ascii="Arial" w:hAnsi="Arial" w:cs="Arial"/>
          <w:sz w:val="22"/>
          <w:szCs w:val="22"/>
        </w:rPr>
      </w:pPr>
    </w:p>
    <w:p w14:paraId="12073297" w14:textId="77777777" w:rsidR="00C52012" w:rsidRDefault="00C52012">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B861FCD" w14:textId="03D4B3ED" w:rsidR="00BC72F1" w:rsidRPr="00C52012" w:rsidRDefault="00BC72F1" w:rsidP="00C52012">
      <w:pPr>
        <w:widowControl/>
        <w:wordWrap/>
        <w:spacing w:line="276" w:lineRule="auto"/>
        <w:rPr>
          <w:rFonts w:ascii="Arial" w:hAnsi="Arial" w:cs="Arial"/>
          <w:kern w:val="0"/>
          <w:sz w:val="22"/>
          <w:szCs w:val="22"/>
        </w:rPr>
      </w:pPr>
      <w:r w:rsidRPr="00C52012">
        <w:rPr>
          <w:rFonts w:ascii="Arial" w:hAnsi="Arial" w:cs="Arial"/>
          <w:b/>
          <w:bCs/>
          <w:spacing w:val="-5"/>
          <w:kern w:val="0"/>
          <w:sz w:val="22"/>
          <w:szCs w:val="22"/>
        </w:rPr>
        <w:lastRenderedPageBreak/>
        <w:t>Employment </w:t>
      </w:r>
    </w:p>
    <w:p w14:paraId="737EE1E6" w14:textId="298DB5A7" w:rsidR="00BC72F1" w:rsidRPr="00C52012" w:rsidRDefault="00BC72F1" w:rsidP="00C52012">
      <w:pPr>
        <w:spacing w:line="276" w:lineRule="auto"/>
        <w:rPr>
          <w:rFonts w:ascii="Arial" w:hAnsi="Arial" w:cs="Arial"/>
          <w:sz w:val="22"/>
          <w:szCs w:val="22"/>
        </w:rPr>
      </w:pPr>
    </w:p>
    <w:p w14:paraId="3C7E8C87" w14:textId="0DC70812" w:rsidR="00C52012" w:rsidRPr="00C52012" w:rsidRDefault="00C52012" w:rsidP="00C52012">
      <w:pPr>
        <w:spacing w:line="276" w:lineRule="auto"/>
        <w:rPr>
          <w:rFonts w:ascii="Arial" w:hAnsi="Arial" w:cs="Arial"/>
          <w:sz w:val="22"/>
          <w:szCs w:val="22"/>
        </w:rPr>
      </w:pPr>
      <w:r w:rsidRPr="00C52012">
        <w:rPr>
          <w:rFonts w:ascii="Arial" w:hAnsi="Arial" w:cs="Arial"/>
          <w:sz w:val="22"/>
          <w:szCs w:val="22"/>
        </w:rPr>
        <w:t xml:space="preserve">&lt;map, graph&gt; </w:t>
      </w:r>
      <w:r w:rsidRPr="00C52012">
        <w:rPr>
          <w:rFonts w:ascii="Arial" w:hAnsi="Arial" w:cs="Arial"/>
          <w:sz w:val="22"/>
          <w:szCs w:val="22"/>
        </w:rPr>
        <w:t>Employment Rate (2020)</w:t>
      </w:r>
    </w:p>
    <w:p w14:paraId="2AD0A299" w14:textId="725B9F1C" w:rsidR="00C52012" w:rsidRPr="00C52012" w:rsidRDefault="00C52012" w:rsidP="00C52012">
      <w:pPr>
        <w:spacing w:line="276" w:lineRule="auto"/>
        <w:rPr>
          <w:rFonts w:ascii="Arial" w:hAnsi="Arial" w:cs="Arial"/>
          <w:sz w:val="22"/>
          <w:szCs w:val="22"/>
        </w:rPr>
      </w:pPr>
      <w:r w:rsidRPr="00C52012">
        <w:rPr>
          <w:rFonts w:ascii="Arial" w:hAnsi="Arial" w:cs="Arial"/>
          <w:sz w:val="22"/>
          <w:szCs w:val="22"/>
        </w:rPr>
        <w:t xml:space="preserve">&lt;graph&gt; </w:t>
      </w:r>
      <w:r w:rsidRPr="00C52012">
        <w:rPr>
          <w:rStyle w:val="A5"/>
          <w:rFonts w:ascii="Arial" w:hAnsi="Arial" w:cs="Arial"/>
        </w:rPr>
        <w:t>Employment by Age (2000 – 2020)</w:t>
      </w:r>
    </w:p>
    <w:p w14:paraId="3F78848F" w14:textId="3DDAA444" w:rsidR="00C52012" w:rsidRPr="00C52012" w:rsidRDefault="00C52012" w:rsidP="00C52012">
      <w:pPr>
        <w:spacing w:line="276" w:lineRule="auto"/>
        <w:rPr>
          <w:rFonts w:ascii="Arial" w:hAnsi="Arial" w:cs="Arial"/>
          <w:sz w:val="22"/>
          <w:szCs w:val="22"/>
        </w:rPr>
      </w:pPr>
      <w:r w:rsidRPr="00C52012">
        <w:rPr>
          <w:rFonts w:ascii="Arial" w:hAnsi="Arial" w:cs="Arial"/>
          <w:sz w:val="22"/>
          <w:szCs w:val="22"/>
        </w:rPr>
        <w:t xml:space="preserve">&lt;graph&gt; </w:t>
      </w:r>
      <w:r w:rsidRPr="00C52012">
        <w:rPr>
          <w:rFonts w:ascii="Arial" w:hAnsi="Arial" w:cs="Arial"/>
          <w:sz w:val="22"/>
          <w:szCs w:val="22"/>
        </w:rPr>
        <w:t>Workers by Employment Type</w:t>
      </w:r>
    </w:p>
    <w:p w14:paraId="2C189B12" w14:textId="4701C69F" w:rsidR="00C52012" w:rsidRPr="00C52012" w:rsidRDefault="00C52012" w:rsidP="00C52012">
      <w:pPr>
        <w:spacing w:line="276" w:lineRule="auto"/>
        <w:rPr>
          <w:rFonts w:ascii="Arial" w:hAnsi="Arial" w:cs="Arial"/>
          <w:sz w:val="22"/>
          <w:szCs w:val="22"/>
        </w:rPr>
      </w:pPr>
    </w:p>
    <w:p w14:paraId="2A2DADBC" w14:textId="4C7F81D1" w:rsidR="00C52012" w:rsidRPr="00C52012" w:rsidRDefault="00C52012" w:rsidP="00C52012">
      <w:pPr>
        <w:spacing w:line="276" w:lineRule="auto"/>
        <w:rPr>
          <w:rFonts w:ascii="Arial" w:hAnsi="Arial" w:cs="Arial"/>
          <w:sz w:val="22"/>
          <w:szCs w:val="22"/>
        </w:rPr>
      </w:pPr>
      <w:r w:rsidRPr="00C52012">
        <w:rPr>
          <w:rFonts w:ascii="Arial" w:hAnsi="Arial" w:cs="Arial"/>
          <w:sz w:val="22"/>
          <w:szCs w:val="22"/>
        </w:rPr>
        <w:t xml:space="preserve">&lt;map&gt; </w:t>
      </w:r>
      <w:r w:rsidRPr="00C52012">
        <w:rPr>
          <w:rFonts w:ascii="Arial" w:hAnsi="Arial" w:cs="Arial"/>
          <w:sz w:val="22"/>
          <w:szCs w:val="22"/>
        </w:rPr>
        <w:t>Employment by Education Level (2020)</w:t>
      </w:r>
    </w:p>
    <w:p w14:paraId="303435F3" w14:textId="7A0AF7B5" w:rsidR="00C52012" w:rsidRPr="00C52012" w:rsidRDefault="00C52012" w:rsidP="00C52012">
      <w:pPr>
        <w:spacing w:line="276" w:lineRule="auto"/>
        <w:rPr>
          <w:rFonts w:ascii="Arial" w:hAnsi="Arial" w:cs="Arial"/>
          <w:sz w:val="22"/>
          <w:szCs w:val="22"/>
        </w:rPr>
      </w:pPr>
      <w:r w:rsidRPr="00C52012">
        <w:rPr>
          <w:rFonts w:ascii="Arial" w:hAnsi="Arial" w:cs="Arial"/>
          <w:sz w:val="22"/>
          <w:szCs w:val="22"/>
        </w:rPr>
        <w:t xml:space="preserve">&lt;map&gt; </w:t>
      </w:r>
      <w:r w:rsidRPr="00C52012">
        <w:rPr>
          <w:rStyle w:val="A40"/>
          <w:rFonts w:ascii="Arial" w:hAnsi="Arial" w:cs="Arial"/>
        </w:rPr>
        <w:t>Employment by Occupational Group (2020)</w:t>
      </w:r>
    </w:p>
    <w:p w14:paraId="1EB4ED52" w14:textId="6D76002F" w:rsidR="00C52012" w:rsidRPr="00580DE6" w:rsidRDefault="00C52012" w:rsidP="00C52012">
      <w:pPr>
        <w:spacing w:line="276" w:lineRule="auto"/>
        <w:rPr>
          <w:rStyle w:val="A40"/>
          <w:rFonts w:ascii="Arial" w:hAnsi="Arial" w:cs="Arial"/>
        </w:rPr>
      </w:pPr>
      <w:r w:rsidRPr="00580DE6">
        <w:rPr>
          <w:rFonts w:ascii="Arial" w:hAnsi="Arial" w:cs="Arial"/>
          <w:sz w:val="22"/>
          <w:szCs w:val="22"/>
        </w:rPr>
        <w:t xml:space="preserve">&lt;map&gt; </w:t>
      </w:r>
      <w:r w:rsidRPr="00580DE6">
        <w:rPr>
          <w:rStyle w:val="A40"/>
          <w:rFonts w:ascii="Arial" w:hAnsi="Arial" w:cs="Arial"/>
        </w:rPr>
        <w:t>Workers by Employment Type (2020)</w:t>
      </w:r>
    </w:p>
    <w:p w14:paraId="62F20907" w14:textId="130DF4D5" w:rsidR="00580DE6" w:rsidRPr="00C52012" w:rsidRDefault="00580DE6" w:rsidP="00C52012">
      <w:pPr>
        <w:spacing w:line="276" w:lineRule="auto"/>
        <w:rPr>
          <w:rFonts w:ascii="Arial" w:hAnsi="Arial" w:cs="Arial"/>
          <w:sz w:val="22"/>
          <w:szCs w:val="22"/>
        </w:rPr>
      </w:pPr>
      <w:r w:rsidRPr="00580DE6">
        <w:rPr>
          <w:rStyle w:val="A40"/>
          <w:rFonts w:ascii="Arial" w:hAnsi="Arial" w:cs="Arial"/>
        </w:rPr>
        <w:t xml:space="preserve">&lt;drawing&gt; </w:t>
      </w:r>
      <w:r w:rsidRPr="00580DE6">
        <w:rPr>
          <w:rStyle w:val="A5"/>
          <w:rFonts w:ascii="Arial" w:hAnsi="Arial" w:cs="Arial"/>
        </w:rPr>
        <w:t>Workers by Employment Type (2020</w:t>
      </w:r>
      <w:r>
        <w:rPr>
          <w:rStyle w:val="A5"/>
        </w:rPr>
        <w:t>)</w:t>
      </w:r>
    </w:p>
    <w:p w14:paraId="5805E883" w14:textId="77777777" w:rsidR="00C52012" w:rsidRPr="00C52012" w:rsidRDefault="00C52012" w:rsidP="00C52012">
      <w:pPr>
        <w:spacing w:line="276" w:lineRule="auto"/>
        <w:rPr>
          <w:rFonts w:ascii="Arial" w:hAnsi="Arial" w:cs="Arial"/>
          <w:sz w:val="22"/>
          <w:szCs w:val="22"/>
        </w:rPr>
      </w:pPr>
    </w:p>
    <w:p w14:paraId="65AD1A01"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Unemployment rates are usually higher in large metropolitan areas because of the higher demand for employment that attracts job seekers to these areas. For the same reason, there is a greater fluctuation in unemployment rates in cities depending on the economic situation. </w:t>
      </w:r>
    </w:p>
    <w:p w14:paraId="3CCB9678"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Along with the overall aging of the Korean population, the age of the employed is also increasing. As of 2020, 67.1% of middle-aged (30-60 years old) are employed, 18.9% of elderly (60+), and 14.0% of youth (15-29 years old). Compared to 2000, the share of employed young people decreased by 9%, while the share of the elderly doubled.</w:t>
      </w:r>
    </w:p>
    <w:p w14:paraId="695847F7"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By occupational status, regular workers (54.0%), self-employed workers (20.6%), temporary workers (16.7%), daily workers (4.9%), and unpaid family workers (3.9%) are in order. Half of the wage earners, including regular workers, temporary workers, and daily workers, work in the Seoul Metropolitan Area. For the past 20 years, the proportion of regular workers has steadily increased, while the proportion of self-employed people has decreased. The ratio of non-regular workers to wage workers, on the other hand, stood at 36.3% in 2020, remaining in the mid-30% range for the past decade.</w:t>
      </w:r>
    </w:p>
    <w:p w14:paraId="7ACDCEC8"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As the overall education level of the younger generation increases and the industrial structure is advanced due to the growth of the producer service industry, the higher education level of the employed is evident. As of 2020, the proportion of college graduates employed is 48.0%, and highly educated workers are concentrated in large cities, particularly in the Seoul Metropolitan Area. The number of employed by occupation nationwide is service/sales workers (22.1%), followed by managers/experts (21.8%), functional machine operation and assembly workers (19.7%), office workers (17.4%), simple labor workers (13.8%), and skilled agriculture, forestry, and fishing workers (5.1%). The composition of each region corresponds to the industrial structure of the region. For example, the proportion of managers and experts in Seoul and the proportion of functional machine operation and assembly workers in Ulsan are above average.</w:t>
      </w:r>
    </w:p>
    <w:p w14:paraId="4482B8C1" w14:textId="77777777" w:rsidR="00BC72F1" w:rsidRPr="00C52012" w:rsidRDefault="00BC72F1" w:rsidP="00C52012">
      <w:pPr>
        <w:spacing w:line="276" w:lineRule="auto"/>
        <w:rPr>
          <w:rFonts w:ascii="Arial" w:hAnsi="Arial" w:cs="Arial"/>
          <w:sz w:val="22"/>
          <w:szCs w:val="22"/>
        </w:rPr>
      </w:pPr>
    </w:p>
    <w:p w14:paraId="65F6A5BE" w14:textId="77777777" w:rsidR="00BC72F1" w:rsidRPr="00C52012" w:rsidRDefault="00BC72F1" w:rsidP="00C52012">
      <w:pPr>
        <w:spacing w:line="276" w:lineRule="auto"/>
        <w:rPr>
          <w:rFonts w:ascii="Arial" w:hAnsi="Arial" w:cs="Arial"/>
          <w:sz w:val="22"/>
          <w:szCs w:val="22"/>
        </w:rPr>
      </w:pPr>
    </w:p>
    <w:p w14:paraId="4B9ED853" w14:textId="77777777" w:rsidR="00580DE6" w:rsidRDefault="00580DE6">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42415DDD" w14:textId="131FF24B" w:rsidR="00BC72F1" w:rsidRPr="00C52012" w:rsidRDefault="00BC72F1" w:rsidP="00C52012">
      <w:pPr>
        <w:widowControl/>
        <w:wordWrap/>
        <w:spacing w:line="276" w:lineRule="auto"/>
        <w:rPr>
          <w:rFonts w:ascii="Arial" w:hAnsi="Arial" w:cs="Arial"/>
          <w:kern w:val="0"/>
          <w:sz w:val="22"/>
          <w:szCs w:val="22"/>
        </w:rPr>
      </w:pPr>
      <w:r w:rsidRPr="00C52012">
        <w:rPr>
          <w:rFonts w:ascii="Arial" w:hAnsi="Arial" w:cs="Arial"/>
          <w:b/>
          <w:bCs/>
          <w:spacing w:val="-5"/>
          <w:kern w:val="0"/>
          <w:sz w:val="22"/>
          <w:szCs w:val="22"/>
        </w:rPr>
        <w:lastRenderedPageBreak/>
        <w:t>Female Labor</w:t>
      </w:r>
    </w:p>
    <w:p w14:paraId="60BABA14" w14:textId="27DDC105" w:rsidR="00BC72F1" w:rsidRPr="00580DE6" w:rsidRDefault="00BC72F1" w:rsidP="00C52012">
      <w:pPr>
        <w:spacing w:line="276" w:lineRule="auto"/>
        <w:rPr>
          <w:rFonts w:ascii="Arial" w:hAnsi="Arial" w:cs="Arial"/>
          <w:sz w:val="22"/>
          <w:szCs w:val="22"/>
        </w:rPr>
      </w:pPr>
    </w:p>
    <w:p w14:paraId="0142A0A1" w14:textId="35DE5EE9" w:rsidR="00580DE6" w:rsidRPr="00580DE6" w:rsidRDefault="00580DE6" w:rsidP="00C52012">
      <w:pPr>
        <w:spacing w:line="276" w:lineRule="auto"/>
        <w:rPr>
          <w:rFonts w:ascii="Arial" w:hAnsi="Arial" w:cs="Arial"/>
          <w:sz w:val="22"/>
          <w:szCs w:val="22"/>
        </w:rPr>
      </w:pPr>
      <w:r w:rsidRPr="00580DE6">
        <w:rPr>
          <w:rFonts w:ascii="Arial" w:hAnsi="Arial" w:cs="Arial"/>
          <w:sz w:val="22"/>
          <w:szCs w:val="22"/>
        </w:rPr>
        <w:t xml:space="preserve">&lt;map&gt; </w:t>
      </w:r>
      <w:r w:rsidRPr="00580DE6">
        <w:rPr>
          <w:rFonts w:ascii="Arial" w:hAnsi="Arial" w:cs="Arial"/>
          <w:sz w:val="22"/>
          <w:szCs w:val="22"/>
        </w:rPr>
        <w:t>Female Employment (2020)</w:t>
      </w:r>
    </w:p>
    <w:p w14:paraId="2C083960" w14:textId="280E9112" w:rsidR="00580DE6" w:rsidRPr="00580DE6" w:rsidRDefault="00580DE6" w:rsidP="00C52012">
      <w:pPr>
        <w:spacing w:line="276" w:lineRule="auto"/>
        <w:rPr>
          <w:rFonts w:ascii="Arial" w:hAnsi="Arial" w:cs="Arial"/>
          <w:sz w:val="22"/>
          <w:szCs w:val="22"/>
        </w:rPr>
      </w:pPr>
      <w:r w:rsidRPr="00580DE6">
        <w:rPr>
          <w:rFonts w:ascii="Arial" w:hAnsi="Arial" w:cs="Arial"/>
          <w:sz w:val="22"/>
          <w:szCs w:val="22"/>
        </w:rPr>
        <w:t xml:space="preserve">&lt;graph&gt; </w:t>
      </w:r>
      <w:r w:rsidRPr="00580DE6">
        <w:rPr>
          <w:rStyle w:val="A5"/>
          <w:rFonts w:ascii="Arial" w:hAnsi="Arial" w:cs="Arial"/>
        </w:rPr>
        <w:t>Female Employment by Age (2000 – 2020)</w:t>
      </w:r>
    </w:p>
    <w:p w14:paraId="7A353022" w14:textId="7E865F2A" w:rsidR="00580DE6" w:rsidRPr="00580DE6" w:rsidRDefault="00580DE6" w:rsidP="00580DE6">
      <w:pPr>
        <w:spacing w:line="276" w:lineRule="auto"/>
        <w:rPr>
          <w:rFonts w:ascii="Arial" w:hAnsi="Arial" w:cs="Arial"/>
          <w:sz w:val="22"/>
          <w:szCs w:val="22"/>
        </w:rPr>
      </w:pPr>
      <w:r w:rsidRPr="00580DE6">
        <w:rPr>
          <w:rFonts w:ascii="Arial" w:hAnsi="Arial" w:cs="Arial"/>
          <w:sz w:val="22"/>
          <w:szCs w:val="22"/>
        </w:rPr>
        <w:t xml:space="preserve">&lt;graph&gt; </w:t>
      </w:r>
      <w:r w:rsidRPr="00580DE6">
        <w:rPr>
          <w:rStyle w:val="A5"/>
          <w:rFonts w:ascii="Arial" w:hAnsi="Arial" w:cs="Arial"/>
        </w:rPr>
        <w:t>Female Labor Force Participation Rate by Education Level</w:t>
      </w:r>
    </w:p>
    <w:p w14:paraId="5B2B4513" w14:textId="6358D65D" w:rsidR="00580DE6" w:rsidRPr="00580DE6" w:rsidRDefault="00580DE6" w:rsidP="00580DE6">
      <w:pPr>
        <w:spacing w:line="276" w:lineRule="auto"/>
        <w:rPr>
          <w:rFonts w:ascii="Arial" w:hAnsi="Arial" w:cs="Arial"/>
          <w:sz w:val="22"/>
          <w:szCs w:val="22"/>
        </w:rPr>
      </w:pPr>
      <w:r w:rsidRPr="00580DE6">
        <w:rPr>
          <w:rFonts w:ascii="Arial" w:hAnsi="Arial" w:cs="Arial"/>
          <w:sz w:val="22"/>
          <w:szCs w:val="22"/>
        </w:rPr>
        <w:t>&lt;graph&gt; Male Employment by Age (2000 – 2020)</w:t>
      </w:r>
    </w:p>
    <w:p w14:paraId="03927F28" w14:textId="300084F3" w:rsidR="00580DE6" w:rsidRPr="00580DE6" w:rsidRDefault="00580DE6" w:rsidP="00580DE6">
      <w:pPr>
        <w:spacing w:line="276" w:lineRule="auto"/>
        <w:rPr>
          <w:rFonts w:ascii="Arial" w:hAnsi="Arial" w:cs="Arial"/>
          <w:sz w:val="22"/>
          <w:szCs w:val="22"/>
        </w:rPr>
      </w:pPr>
      <w:r w:rsidRPr="00580DE6">
        <w:rPr>
          <w:rFonts w:ascii="Arial" w:hAnsi="Arial" w:cs="Arial"/>
          <w:sz w:val="22"/>
          <w:szCs w:val="22"/>
        </w:rPr>
        <w:t xml:space="preserve">&lt;graph&gt; </w:t>
      </w:r>
      <w:r w:rsidRPr="00580DE6">
        <w:rPr>
          <w:rStyle w:val="A5"/>
          <w:rFonts w:ascii="Arial" w:hAnsi="Arial" w:cs="Arial"/>
        </w:rPr>
        <w:t>Male Labor Force Participation Rate by Education Level</w:t>
      </w:r>
    </w:p>
    <w:p w14:paraId="7E8A62EC" w14:textId="77777777" w:rsidR="00580DE6" w:rsidRPr="00580DE6" w:rsidRDefault="00580DE6" w:rsidP="00C52012">
      <w:pPr>
        <w:spacing w:line="276" w:lineRule="auto"/>
        <w:rPr>
          <w:rFonts w:ascii="Arial" w:hAnsi="Arial" w:cs="Arial"/>
          <w:sz w:val="22"/>
          <w:szCs w:val="22"/>
        </w:rPr>
      </w:pPr>
    </w:p>
    <w:p w14:paraId="76818673"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Among women aged 15 and over, the labor force participation rate was only 37.0% in 1963, but in 2004, it was 50.1%, exceeding half for the first time in history. Following the global financial crisis in 2009, the rate fell to 49.2%. However, the rate again exceeded 50% in 2012 and increased to 52.8% in 2020. For the past 10 years, women's labor-force participation rate has hovered around 50%, significantly lower than men's (72.6%). However, the number of economically active women steadily increased from 9.1 million in 2000 to 12.0 million in 2020. Looking at the age distribution of women participating in economic activities, 45-59 years old (35.7%), 30-44 years old (28.2%), 60 years old or older (19.2%), and 15-29 years old (16.8%) are the most common. Women aged 30 to 44 have a lower economic participation rate than men because they are burdened with birth-giving and child-rearing.</w:t>
      </w:r>
    </w:p>
    <w:p w14:paraId="620FED46"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 xml:space="preserve">A large proportion of female workers are engaged in service industries such as health and social welfare services, </w:t>
      </w:r>
      <w:proofErr w:type="gramStart"/>
      <w:r w:rsidRPr="00C52012">
        <w:rPr>
          <w:rFonts w:ascii="Arial" w:hAnsi="Arial" w:cs="Arial"/>
          <w:spacing w:val="-2"/>
          <w:kern w:val="0"/>
          <w:sz w:val="22"/>
          <w:szCs w:val="22"/>
        </w:rPr>
        <w:t>wholesale</w:t>
      </w:r>
      <w:proofErr w:type="gramEnd"/>
      <w:r w:rsidRPr="00C52012">
        <w:rPr>
          <w:rFonts w:ascii="Arial" w:hAnsi="Arial" w:cs="Arial"/>
          <w:spacing w:val="-2"/>
          <w:kern w:val="0"/>
          <w:sz w:val="22"/>
          <w:szCs w:val="22"/>
        </w:rPr>
        <w:t xml:space="preserve"> and retail, lodging and restaurants, business facility management, business support and rental services, and education services. Accordingly, the proportion of women employed to the total employed is higher than the national average in large cities where the service economy has progressed, and the proportion of men is higher in cities and provinces specialized in manufacturing, such as Ulsan. As of 2019, the proportion of women employed in small businesses with nine or fewer employees is higher than that of men, while the proportion of women employed in medium and large businesses with 100 or more employees is somewhat lower. In terms of occupational status, the proportion of regular workers among employed women was 66.8%, which was lower than the proportion of men, and the proportion of temporary and daily workers was slightly higher.</w:t>
      </w:r>
    </w:p>
    <w:p w14:paraId="180E8E3E"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The proportion of dual-income households among married households was 45.4% in 2020, remaining in the mid-40% range for the past 10 years. Therefore, the Korean government encourages female workers to balance their work and family and prevent job turnover due to childbirth by implementing maternity support policies such as maternity leave and parental leave. The Korean government also supports female job seekers who have had their careers cut off due to marriage, pregnancy, childbirth, or family caregiving or who have never had a job.</w:t>
      </w:r>
    </w:p>
    <w:p w14:paraId="0173A503" w14:textId="63210464" w:rsidR="00BC72F1" w:rsidRPr="00580DE6" w:rsidRDefault="00BC72F1" w:rsidP="00C52012">
      <w:pPr>
        <w:spacing w:line="276" w:lineRule="auto"/>
        <w:rPr>
          <w:rFonts w:ascii="Arial" w:hAnsi="Arial" w:cs="Arial"/>
          <w:sz w:val="22"/>
          <w:szCs w:val="22"/>
        </w:rPr>
      </w:pPr>
    </w:p>
    <w:p w14:paraId="04B249DF" w14:textId="3A9842DA" w:rsidR="00580DE6" w:rsidRPr="00580DE6" w:rsidRDefault="00580DE6" w:rsidP="00C52012">
      <w:pPr>
        <w:spacing w:line="276" w:lineRule="auto"/>
        <w:rPr>
          <w:rFonts w:ascii="Arial" w:hAnsi="Arial" w:cs="Arial"/>
          <w:sz w:val="22"/>
          <w:szCs w:val="22"/>
        </w:rPr>
      </w:pPr>
      <w:r w:rsidRPr="00580DE6">
        <w:rPr>
          <w:rFonts w:ascii="Arial" w:hAnsi="Arial" w:cs="Arial"/>
          <w:sz w:val="22"/>
          <w:szCs w:val="22"/>
        </w:rPr>
        <w:t xml:space="preserve">&lt;map&gt; </w:t>
      </w:r>
      <w:r w:rsidRPr="00580DE6">
        <w:rPr>
          <w:rFonts w:ascii="Arial" w:hAnsi="Arial" w:cs="Arial"/>
          <w:sz w:val="22"/>
          <w:szCs w:val="22"/>
        </w:rPr>
        <w:t>Female Employment by Industry (2019)</w:t>
      </w:r>
    </w:p>
    <w:p w14:paraId="0FEDC45E" w14:textId="6610FD21" w:rsidR="00580DE6" w:rsidRPr="00580DE6" w:rsidRDefault="00580DE6" w:rsidP="00580DE6">
      <w:pPr>
        <w:spacing w:line="276" w:lineRule="auto"/>
        <w:rPr>
          <w:rFonts w:ascii="Arial" w:hAnsi="Arial" w:cs="Arial"/>
          <w:sz w:val="22"/>
          <w:szCs w:val="22"/>
        </w:rPr>
      </w:pPr>
      <w:r w:rsidRPr="00580DE6">
        <w:rPr>
          <w:rFonts w:ascii="Arial" w:hAnsi="Arial" w:cs="Arial"/>
          <w:sz w:val="22"/>
          <w:szCs w:val="22"/>
        </w:rPr>
        <w:t xml:space="preserve">&lt;map&gt; </w:t>
      </w:r>
      <w:r w:rsidRPr="00580DE6">
        <w:rPr>
          <w:rStyle w:val="A40"/>
          <w:rFonts w:ascii="Arial" w:hAnsi="Arial" w:cs="Arial"/>
        </w:rPr>
        <w:t>Female Workers by Employment Type (2019)</w:t>
      </w:r>
    </w:p>
    <w:p w14:paraId="46559C36" w14:textId="17A370D2" w:rsidR="00580DE6" w:rsidRPr="00580DE6" w:rsidRDefault="00580DE6" w:rsidP="00580DE6">
      <w:pPr>
        <w:spacing w:line="276" w:lineRule="auto"/>
        <w:rPr>
          <w:rFonts w:ascii="Arial" w:hAnsi="Arial" w:cs="Arial"/>
          <w:sz w:val="22"/>
          <w:szCs w:val="22"/>
        </w:rPr>
      </w:pPr>
      <w:r w:rsidRPr="00580DE6">
        <w:rPr>
          <w:rFonts w:ascii="Arial" w:hAnsi="Arial" w:cs="Arial"/>
          <w:sz w:val="22"/>
          <w:szCs w:val="22"/>
        </w:rPr>
        <w:t xml:space="preserve">&lt;map&gt; </w:t>
      </w:r>
      <w:r w:rsidRPr="00580DE6">
        <w:rPr>
          <w:rStyle w:val="A40"/>
          <w:rFonts w:ascii="Arial" w:hAnsi="Arial" w:cs="Arial"/>
        </w:rPr>
        <w:t>Female Employment by Enterprise Size (2019)</w:t>
      </w:r>
    </w:p>
    <w:p w14:paraId="1A8DE013" w14:textId="10603F2C" w:rsidR="00580DE6" w:rsidRPr="00580DE6" w:rsidRDefault="00580DE6" w:rsidP="00C52012">
      <w:pPr>
        <w:spacing w:line="276" w:lineRule="auto"/>
        <w:rPr>
          <w:rFonts w:ascii="Arial" w:hAnsi="Arial" w:cs="Arial"/>
          <w:sz w:val="22"/>
          <w:szCs w:val="22"/>
        </w:rPr>
      </w:pPr>
      <w:r w:rsidRPr="00580DE6">
        <w:rPr>
          <w:rFonts w:ascii="Arial" w:hAnsi="Arial" w:cs="Arial"/>
          <w:sz w:val="22"/>
          <w:szCs w:val="22"/>
        </w:rPr>
        <w:t xml:space="preserve">&lt;drawing&gt; </w:t>
      </w:r>
      <w:r w:rsidRPr="00580DE6">
        <w:rPr>
          <w:rStyle w:val="A40"/>
          <w:rFonts w:ascii="Arial" w:hAnsi="Arial" w:cs="Arial"/>
        </w:rPr>
        <w:t>Dual Income Households and Maternity/Parental Leave (2020)</w:t>
      </w:r>
    </w:p>
    <w:p w14:paraId="7A16CB53" w14:textId="3A283EAD" w:rsidR="00580DE6" w:rsidRPr="00580DE6" w:rsidRDefault="00580DE6" w:rsidP="00C52012">
      <w:pPr>
        <w:spacing w:line="276" w:lineRule="auto"/>
        <w:rPr>
          <w:rFonts w:ascii="Arial" w:hAnsi="Arial" w:cs="Arial"/>
          <w:sz w:val="22"/>
          <w:szCs w:val="22"/>
        </w:rPr>
      </w:pPr>
      <w:r w:rsidRPr="00580DE6">
        <w:rPr>
          <w:rFonts w:ascii="Arial" w:hAnsi="Arial" w:cs="Arial"/>
          <w:sz w:val="22"/>
          <w:szCs w:val="22"/>
        </w:rPr>
        <w:t xml:space="preserve">&lt;graph&gt; </w:t>
      </w:r>
      <w:r w:rsidRPr="00580DE6">
        <w:rPr>
          <w:rStyle w:val="A6"/>
          <w:rFonts w:ascii="Arial" w:hAnsi="Arial" w:cs="Arial"/>
        </w:rPr>
        <w:t>Maternity/Parental Leave (2011–2020)</w:t>
      </w:r>
    </w:p>
    <w:p w14:paraId="5D8335FA" w14:textId="0DBA93FC" w:rsidR="00580DE6" w:rsidRDefault="00580DE6" w:rsidP="00C52012">
      <w:pPr>
        <w:spacing w:line="276" w:lineRule="auto"/>
        <w:rPr>
          <w:rFonts w:ascii="Arial" w:hAnsi="Arial" w:cs="Arial"/>
          <w:sz w:val="22"/>
          <w:szCs w:val="22"/>
        </w:rPr>
      </w:pPr>
    </w:p>
    <w:p w14:paraId="0247A60F" w14:textId="77777777" w:rsidR="00BC72F1" w:rsidRPr="00C52012" w:rsidRDefault="00BC72F1" w:rsidP="00C52012">
      <w:pPr>
        <w:widowControl/>
        <w:wordWrap/>
        <w:spacing w:line="276" w:lineRule="auto"/>
        <w:rPr>
          <w:rFonts w:ascii="Arial" w:hAnsi="Arial" w:cs="Arial"/>
          <w:kern w:val="0"/>
          <w:sz w:val="22"/>
          <w:szCs w:val="22"/>
        </w:rPr>
      </w:pPr>
      <w:r w:rsidRPr="00C52012">
        <w:rPr>
          <w:rFonts w:ascii="Arial" w:hAnsi="Arial" w:cs="Arial"/>
          <w:b/>
          <w:bCs/>
          <w:spacing w:val="-5"/>
          <w:kern w:val="0"/>
          <w:sz w:val="22"/>
          <w:szCs w:val="22"/>
        </w:rPr>
        <w:lastRenderedPageBreak/>
        <w:t>Elderly Labor and Youth Labor</w:t>
      </w:r>
    </w:p>
    <w:p w14:paraId="11BA4918" w14:textId="28D776EC" w:rsidR="00BC72F1" w:rsidRPr="00C26D3B" w:rsidRDefault="00BC72F1" w:rsidP="00C52012">
      <w:pPr>
        <w:spacing w:line="276" w:lineRule="auto"/>
        <w:rPr>
          <w:rFonts w:ascii="Arial" w:hAnsi="Arial" w:cs="Arial"/>
          <w:sz w:val="22"/>
          <w:szCs w:val="22"/>
        </w:rPr>
      </w:pPr>
    </w:p>
    <w:p w14:paraId="6CF9F2E1" w14:textId="081AF94D" w:rsidR="00C02D95" w:rsidRPr="00C26D3B" w:rsidRDefault="00C02D95" w:rsidP="00C52012">
      <w:pPr>
        <w:spacing w:line="276" w:lineRule="auto"/>
        <w:rPr>
          <w:rFonts w:ascii="Arial" w:hAnsi="Arial" w:cs="Arial"/>
          <w:sz w:val="22"/>
          <w:szCs w:val="22"/>
        </w:rPr>
      </w:pPr>
      <w:r w:rsidRPr="00C26D3B">
        <w:rPr>
          <w:rFonts w:ascii="Arial" w:hAnsi="Arial" w:cs="Arial"/>
          <w:sz w:val="22"/>
          <w:szCs w:val="22"/>
        </w:rPr>
        <w:t xml:space="preserve">&lt;map, graph&gt; </w:t>
      </w:r>
      <w:r w:rsidRPr="00C26D3B">
        <w:rPr>
          <w:rStyle w:val="A40"/>
          <w:rFonts w:ascii="Arial" w:hAnsi="Arial" w:cs="Arial"/>
        </w:rPr>
        <w:t>Elderly Employment (2020)</w:t>
      </w:r>
    </w:p>
    <w:p w14:paraId="0E7080FE" w14:textId="2D5ED365" w:rsidR="00C02D95" w:rsidRPr="00C26D3B" w:rsidRDefault="00C02D95" w:rsidP="00C52012">
      <w:pPr>
        <w:spacing w:line="276" w:lineRule="auto"/>
        <w:rPr>
          <w:rStyle w:val="A5"/>
          <w:rFonts w:ascii="Arial" w:hAnsi="Arial" w:cs="Arial"/>
        </w:rPr>
      </w:pPr>
      <w:r w:rsidRPr="00C26D3B">
        <w:rPr>
          <w:rFonts w:ascii="Arial" w:hAnsi="Arial" w:cs="Arial"/>
          <w:sz w:val="22"/>
          <w:szCs w:val="22"/>
        </w:rPr>
        <w:t xml:space="preserve">&lt;drawing&gt; </w:t>
      </w:r>
      <w:r w:rsidRPr="00C26D3B">
        <w:rPr>
          <w:rStyle w:val="A5"/>
          <w:rFonts w:ascii="Arial" w:hAnsi="Arial" w:cs="Arial"/>
        </w:rPr>
        <w:t>Elderly Employment Rate (2019)</w:t>
      </w:r>
    </w:p>
    <w:p w14:paraId="29E0A794" w14:textId="2A89A319" w:rsidR="00C26D3B" w:rsidRPr="00C26D3B" w:rsidRDefault="00C26D3B" w:rsidP="00C52012">
      <w:pPr>
        <w:spacing w:line="276" w:lineRule="auto"/>
        <w:rPr>
          <w:rStyle w:val="A5"/>
          <w:rFonts w:ascii="Arial" w:hAnsi="Arial" w:cs="Arial"/>
        </w:rPr>
      </w:pPr>
    </w:p>
    <w:p w14:paraId="16379B78" w14:textId="0B7D3689" w:rsidR="00C26D3B" w:rsidRPr="00C26D3B" w:rsidRDefault="00C26D3B" w:rsidP="00C26D3B">
      <w:pPr>
        <w:spacing w:line="276" w:lineRule="auto"/>
        <w:rPr>
          <w:rFonts w:ascii="Arial" w:hAnsi="Arial" w:cs="Arial"/>
          <w:sz w:val="22"/>
          <w:szCs w:val="22"/>
        </w:rPr>
      </w:pPr>
      <w:r w:rsidRPr="00C26D3B">
        <w:rPr>
          <w:rFonts w:ascii="Arial" w:hAnsi="Arial" w:cs="Arial"/>
          <w:sz w:val="22"/>
          <w:szCs w:val="22"/>
        </w:rPr>
        <w:t xml:space="preserve">&lt;map, graph&gt; </w:t>
      </w:r>
      <w:r w:rsidRPr="00C26D3B">
        <w:rPr>
          <w:rStyle w:val="A40"/>
          <w:rFonts w:ascii="Arial" w:hAnsi="Arial" w:cs="Arial"/>
        </w:rPr>
        <w:t>Youth Employment (2020)</w:t>
      </w:r>
    </w:p>
    <w:p w14:paraId="7D42B0BF" w14:textId="584C03E6" w:rsidR="00C26D3B" w:rsidRPr="00C26D3B" w:rsidRDefault="00C26D3B" w:rsidP="00C52012">
      <w:pPr>
        <w:spacing w:line="276" w:lineRule="auto"/>
        <w:rPr>
          <w:rStyle w:val="A5"/>
          <w:rFonts w:ascii="Arial" w:hAnsi="Arial" w:cs="Arial"/>
        </w:rPr>
      </w:pPr>
      <w:r w:rsidRPr="00C26D3B">
        <w:rPr>
          <w:rStyle w:val="A5"/>
          <w:rFonts w:ascii="Arial" w:hAnsi="Arial" w:cs="Arial"/>
        </w:rPr>
        <w:t xml:space="preserve">&lt;drawing&gt; </w:t>
      </w:r>
      <w:r w:rsidRPr="00C26D3B">
        <w:rPr>
          <w:rStyle w:val="A5"/>
          <w:rFonts w:ascii="Arial" w:hAnsi="Arial" w:cs="Arial"/>
        </w:rPr>
        <w:t>Youth Population (15 – 29 age) Economic Activities (2020)</w:t>
      </w:r>
    </w:p>
    <w:p w14:paraId="0D72F6CF" w14:textId="1DE01AEA" w:rsidR="00C26D3B" w:rsidRPr="00C26D3B" w:rsidRDefault="00C26D3B" w:rsidP="00C52012">
      <w:pPr>
        <w:spacing w:line="276" w:lineRule="auto"/>
        <w:rPr>
          <w:rFonts w:ascii="Arial" w:hAnsi="Arial" w:cs="Arial"/>
          <w:sz w:val="22"/>
          <w:szCs w:val="22"/>
        </w:rPr>
      </w:pPr>
      <w:r w:rsidRPr="00C26D3B">
        <w:rPr>
          <w:rFonts w:ascii="Arial" w:hAnsi="Arial" w:cs="Arial"/>
          <w:sz w:val="22"/>
          <w:szCs w:val="22"/>
        </w:rPr>
        <w:t xml:space="preserve">&lt;graph&gt; </w:t>
      </w:r>
      <w:r w:rsidRPr="00C26D3B">
        <w:rPr>
          <w:rFonts w:ascii="Arial" w:hAnsi="Arial" w:cs="Arial"/>
          <w:sz w:val="22"/>
          <w:szCs w:val="22"/>
        </w:rPr>
        <w:t>Youth Employees by Industry (May 2020)</w:t>
      </w:r>
    </w:p>
    <w:p w14:paraId="522BF5BF" w14:textId="5F40E734" w:rsidR="00C26D3B" w:rsidRPr="00C26D3B" w:rsidRDefault="00C26D3B" w:rsidP="00C52012">
      <w:pPr>
        <w:spacing w:line="276" w:lineRule="auto"/>
        <w:rPr>
          <w:rFonts w:ascii="Arial" w:hAnsi="Arial" w:cs="Arial"/>
          <w:sz w:val="22"/>
          <w:szCs w:val="22"/>
        </w:rPr>
      </w:pPr>
      <w:r w:rsidRPr="00C26D3B">
        <w:rPr>
          <w:rFonts w:ascii="Arial" w:hAnsi="Arial" w:cs="Arial"/>
          <w:sz w:val="22"/>
          <w:szCs w:val="22"/>
        </w:rPr>
        <w:t xml:space="preserve">&lt;chart&gt; </w:t>
      </w:r>
      <w:r w:rsidRPr="00C26D3B">
        <w:rPr>
          <w:rFonts w:ascii="Arial" w:hAnsi="Arial" w:cs="Arial"/>
          <w:sz w:val="22"/>
          <w:szCs w:val="22"/>
        </w:rPr>
        <w:t>First and Present Job of Youth Employment (2019)</w:t>
      </w:r>
    </w:p>
    <w:p w14:paraId="6C6EF6C1" w14:textId="77777777" w:rsidR="00C02D95" w:rsidRPr="00C02D95" w:rsidRDefault="00C02D95" w:rsidP="00C52012">
      <w:pPr>
        <w:spacing w:line="276" w:lineRule="auto"/>
        <w:rPr>
          <w:rFonts w:ascii="Arial" w:hAnsi="Arial" w:cs="Arial" w:hint="eastAsia"/>
          <w:sz w:val="22"/>
          <w:szCs w:val="22"/>
        </w:rPr>
      </w:pPr>
    </w:p>
    <w:p w14:paraId="3292E7AD"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The rapid aging of Korean society is being driven by the large-scale retirement of the postwar baby boomers (born between 1955 and 1963). As the economy grows stably, the general state of health has improved, and life expectancy has increased. Many elderly workers want to continue working to better prepare for old age as their life expectancy increases. The government provides education to improve job skills for the so-called young elderly (50</w:t>
      </w:r>
      <w:r w:rsidRPr="00C52012">
        <w:rPr>
          <w:rFonts w:ascii="Arial" w:hAnsi="Arial" w:cs="Arial"/>
          <w:spacing w:val="-3"/>
          <w:kern w:val="0"/>
          <w:sz w:val="22"/>
          <w:szCs w:val="22"/>
        </w:rPr>
        <w:t>–</w:t>
      </w:r>
      <w:r w:rsidRPr="00C52012">
        <w:rPr>
          <w:rFonts w:ascii="Arial" w:hAnsi="Arial" w:cs="Arial"/>
          <w:spacing w:val="-2"/>
          <w:kern w:val="0"/>
          <w:sz w:val="22"/>
          <w:szCs w:val="22"/>
        </w:rPr>
        <w:t>69 years old), helps searching jobs, and supports companies that hire them. Also, it supports retired professionals so that they can get re-employed or contribute to the local community by utilizing their experience and skills.</w:t>
      </w:r>
    </w:p>
    <w:p w14:paraId="48CEAD0A"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3"/>
          <w:kern w:val="0"/>
          <w:sz w:val="22"/>
          <w:szCs w:val="22"/>
        </w:rPr>
        <w:t>In 2019, the number of employed young people (15–29 years old) was about 4.0 million, which is maintained despite the population size of that age group declining. The youth unemployment rate, on the other hand, was 8.9%, which was higher than the overall unemployment rate. It is necessary to pay attention because persistent high youth unemployment undermines growth potential both personally and nationally. Youth unemployment is the result of various structural factors. First, economic growth slowed due to a presumed shrinkage in domestic consumption caused by a low birth rate and an aging population. Second, retirement decreased due to the extension of the retirement age. Third, job creation power fell due to the spread of online businesses and unmanned stores. In addition, when the eco-generation, the children of the baby boomers, became young people, the labor supply increased. These generations have a higher college entrance rate than in the past, and competition for high-quality jobs is fierce. To increase the youth employment rate, the Korean government not only encourages companies to hire young people but also helps job-seeking young people more easily obtain job information in Korea and abroad, develop job skills, gain job experience, and further encourage them to work long-term after employment by implementing various youth employment-related policies.</w:t>
      </w:r>
    </w:p>
    <w:p w14:paraId="3BD146A1" w14:textId="77777777" w:rsidR="00BC72F1" w:rsidRPr="00C52012" w:rsidRDefault="00BC72F1" w:rsidP="00C52012">
      <w:pPr>
        <w:spacing w:line="276" w:lineRule="auto"/>
        <w:rPr>
          <w:rFonts w:ascii="Arial" w:hAnsi="Arial" w:cs="Arial"/>
          <w:sz w:val="22"/>
          <w:szCs w:val="22"/>
        </w:rPr>
      </w:pPr>
    </w:p>
    <w:p w14:paraId="668F5AD7" w14:textId="77777777" w:rsidR="00BC72F1" w:rsidRPr="00C52012" w:rsidRDefault="00BC72F1" w:rsidP="00C52012">
      <w:pPr>
        <w:spacing w:line="276" w:lineRule="auto"/>
        <w:rPr>
          <w:rFonts w:ascii="Arial" w:hAnsi="Arial" w:cs="Arial"/>
          <w:sz w:val="22"/>
          <w:szCs w:val="22"/>
        </w:rPr>
      </w:pPr>
    </w:p>
    <w:p w14:paraId="40B0A176" w14:textId="77777777" w:rsidR="00C26D3B" w:rsidRDefault="00C26D3B">
      <w:pPr>
        <w:widowControl/>
        <w:wordWrap/>
        <w:jc w:val="left"/>
        <w:rPr>
          <w:rFonts w:ascii="Arial" w:hAnsi="Arial" w:cs="Arial"/>
          <w:b/>
          <w:bCs/>
          <w:spacing w:val="-5"/>
          <w:kern w:val="0"/>
          <w:sz w:val="22"/>
          <w:szCs w:val="22"/>
        </w:rPr>
      </w:pPr>
      <w:r>
        <w:rPr>
          <w:rFonts w:ascii="Arial" w:hAnsi="Arial" w:cs="Arial"/>
          <w:b/>
          <w:bCs/>
          <w:spacing w:val="-5"/>
          <w:kern w:val="0"/>
          <w:sz w:val="22"/>
          <w:szCs w:val="22"/>
        </w:rPr>
        <w:br w:type="page"/>
      </w:r>
    </w:p>
    <w:p w14:paraId="249CC778" w14:textId="298A7B80" w:rsidR="00BC72F1" w:rsidRPr="00C52012" w:rsidRDefault="00BC72F1" w:rsidP="00C52012">
      <w:pPr>
        <w:widowControl/>
        <w:wordWrap/>
        <w:spacing w:line="276" w:lineRule="auto"/>
        <w:rPr>
          <w:rFonts w:ascii="Arial" w:hAnsi="Arial" w:cs="Arial"/>
          <w:kern w:val="0"/>
          <w:sz w:val="22"/>
          <w:szCs w:val="22"/>
        </w:rPr>
      </w:pPr>
      <w:r w:rsidRPr="00C52012">
        <w:rPr>
          <w:rFonts w:ascii="Arial" w:hAnsi="Arial" w:cs="Arial"/>
          <w:b/>
          <w:bCs/>
          <w:spacing w:val="-5"/>
          <w:kern w:val="0"/>
          <w:sz w:val="22"/>
          <w:szCs w:val="22"/>
        </w:rPr>
        <w:lastRenderedPageBreak/>
        <w:t>Migrant Labor</w:t>
      </w:r>
    </w:p>
    <w:p w14:paraId="2D9D0682" w14:textId="532EFC0A" w:rsidR="00BC72F1" w:rsidRPr="00C26D3B" w:rsidRDefault="00BC72F1" w:rsidP="00C52012">
      <w:pPr>
        <w:spacing w:line="276" w:lineRule="auto"/>
        <w:rPr>
          <w:rFonts w:ascii="Arial" w:hAnsi="Arial" w:cs="Arial"/>
          <w:sz w:val="22"/>
          <w:szCs w:val="22"/>
        </w:rPr>
      </w:pPr>
    </w:p>
    <w:p w14:paraId="4C87F31C" w14:textId="1FBCAC27" w:rsidR="00C26D3B" w:rsidRPr="00C26D3B" w:rsidRDefault="00C26D3B" w:rsidP="00C52012">
      <w:pPr>
        <w:spacing w:line="276" w:lineRule="auto"/>
        <w:rPr>
          <w:rFonts w:ascii="Arial" w:hAnsi="Arial" w:cs="Arial"/>
          <w:sz w:val="22"/>
          <w:szCs w:val="22"/>
        </w:rPr>
      </w:pPr>
      <w:r w:rsidRPr="00C26D3B">
        <w:rPr>
          <w:rFonts w:ascii="Arial" w:hAnsi="Arial" w:cs="Arial"/>
          <w:sz w:val="22"/>
          <w:szCs w:val="22"/>
        </w:rPr>
        <w:t xml:space="preserve">&lt;map, graph&gt; </w:t>
      </w:r>
      <w:r w:rsidRPr="00C26D3B">
        <w:rPr>
          <w:rFonts w:ascii="Arial" w:hAnsi="Arial" w:cs="Arial"/>
          <w:sz w:val="22"/>
          <w:szCs w:val="22"/>
        </w:rPr>
        <w:t>Migrant Workers by Region (2020)</w:t>
      </w:r>
    </w:p>
    <w:p w14:paraId="1CFF7BB9" w14:textId="40492113" w:rsidR="00C26D3B" w:rsidRPr="00C26D3B" w:rsidRDefault="00C26D3B" w:rsidP="00C52012">
      <w:pPr>
        <w:spacing w:line="276" w:lineRule="auto"/>
        <w:rPr>
          <w:rFonts w:ascii="Arial" w:hAnsi="Arial" w:cs="Arial"/>
          <w:sz w:val="22"/>
          <w:szCs w:val="22"/>
        </w:rPr>
      </w:pPr>
      <w:r w:rsidRPr="00C26D3B">
        <w:rPr>
          <w:rFonts w:ascii="Arial" w:hAnsi="Arial" w:cs="Arial"/>
          <w:sz w:val="22"/>
          <w:szCs w:val="22"/>
        </w:rPr>
        <w:t xml:space="preserve">&lt;graph&gt; </w:t>
      </w:r>
      <w:r w:rsidRPr="00C26D3B">
        <w:rPr>
          <w:rStyle w:val="A40"/>
          <w:rFonts w:ascii="Arial" w:hAnsi="Arial" w:cs="Arial"/>
        </w:rPr>
        <w:t>Distribution of Migrant Workers by Type (2020)</w:t>
      </w:r>
    </w:p>
    <w:p w14:paraId="2792A650" w14:textId="456104ED" w:rsidR="00C26D3B" w:rsidRPr="00C26D3B" w:rsidRDefault="00C26D3B" w:rsidP="00C52012">
      <w:pPr>
        <w:spacing w:line="276" w:lineRule="auto"/>
        <w:rPr>
          <w:rFonts w:ascii="Arial" w:hAnsi="Arial" w:cs="Arial"/>
          <w:sz w:val="22"/>
          <w:szCs w:val="22"/>
        </w:rPr>
      </w:pPr>
      <w:r w:rsidRPr="00C26D3B">
        <w:rPr>
          <w:rFonts w:ascii="Arial" w:hAnsi="Arial" w:cs="Arial"/>
          <w:sz w:val="22"/>
          <w:szCs w:val="22"/>
        </w:rPr>
        <w:t xml:space="preserve">&lt;graph&gt; </w:t>
      </w:r>
      <w:r w:rsidRPr="00C26D3B">
        <w:rPr>
          <w:rFonts w:ascii="Arial" w:hAnsi="Arial" w:cs="Arial"/>
          <w:sz w:val="22"/>
          <w:szCs w:val="22"/>
        </w:rPr>
        <w:t>Foreign Labor Force Participation (2012 – 2021)</w:t>
      </w:r>
    </w:p>
    <w:p w14:paraId="394855FB" w14:textId="77777777" w:rsidR="00C26D3B" w:rsidRPr="00C26D3B" w:rsidRDefault="00C26D3B" w:rsidP="00C52012">
      <w:pPr>
        <w:spacing w:line="276" w:lineRule="auto"/>
        <w:rPr>
          <w:rFonts w:ascii="Arial" w:hAnsi="Arial" w:cs="Arial"/>
          <w:sz w:val="22"/>
          <w:szCs w:val="22"/>
        </w:rPr>
      </w:pPr>
    </w:p>
    <w:p w14:paraId="7C0F80BD" w14:textId="77777777" w:rsidR="00BC72F1" w:rsidRPr="00C52012" w:rsidRDefault="00BC72F1" w:rsidP="00C52012">
      <w:pPr>
        <w:widowControl/>
        <w:wordWrap/>
        <w:spacing w:line="276" w:lineRule="auto"/>
        <w:ind w:firstLine="128"/>
        <w:rPr>
          <w:rFonts w:ascii="Arial" w:hAnsi="Arial" w:cs="Arial"/>
          <w:kern w:val="0"/>
          <w:sz w:val="22"/>
          <w:szCs w:val="22"/>
        </w:rPr>
      </w:pPr>
      <w:r w:rsidRPr="00C26D3B">
        <w:rPr>
          <w:rFonts w:ascii="Arial" w:hAnsi="Arial" w:cs="Arial"/>
          <w:spacing w:val="-2"/>
          <w:kern w:val="0"/>
          <w:sz w:val="22"/>
          <w:szCs w:val="22"/>
        </w:rPr>
        <w:t>The number of foreigners</w:t>
      </w:r>
      <w:r w:rsidRPr="00C52012">
        <w:rPr>
          <w:rFonts w:ascii="Arial" w:hAnsi="Arial" w:cs="Arial"/>
          <w:spacing w:val="-2"/>
          <w:kern w:val="0"/>
          <w:sz w:val="22"/>
          <w:szCs w:val="22"/>
        </w:rPr>
        <w:t xml:space="preserve"> residing in Korea was only about 0.3 million in 1998. However, it increased dramatically to 2 million (3.9% of the total population) in 2020, thanks to a large influx of foreign workers, marriage migrants, international students, and overseas Koreans. This increase is the result of various factors. First, as the Korean economy grows, the wage gap with neighboring Asian countries becomes clear. Second, the industrial structure shifts to the service industry, exacerbating the labor force shortage in the agricultural, livestock, fishing, construction, and small and medium-sized manufacturing industries. Third, the demand for care services has also increased due to the aging of the population and the increase in dual-income households.</w:t>
      </w:r>
    </w:p>
    <w:p w14:paraId="79CAD8DB"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As of 2020, about 1.4 million immigrants aged 15 and over reside in Korea, of which 1.3 million are foreigners, and the rest are naturalization permits. The economically active population among immigrants is about 950,000, and a labor force participation rate of 68.7%. There are 880,000 immigrants working, with a 63.5% employment rate and a 7.6% unemployment rate.</w:t>
      </w:r>
    </w:p>
    <w:p w14:paraId="75EE2FAF"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 xml:space="preserve">Approximately two-thirds of the 850,000 foreign workers are men, with 58.4% of them in their 20s and 30s. The majority are from Asia, with 320,000 </w:t>
      </w:r>
      <w:proofErr w:type="gramStart"/>
      <w:r w:rsidRPr="00C52012">
        <w:rPr>
          <w:rFonts w:ascii="Arial" w:hAnsi="Arial" w:cs="Arial"/>
          <w:spacing w:val="-2"/>
          <w:kern w:val="0"/>
          <w:sz w:val="22"/>
          <w:szCs w:val="22"/>
        </w:rPr>
        <w:t>Korean-Chinese</w:t>
      </w:r>
      <w:proofErr w:type="gramEnd"/>
      <w:r w:rsidRPr="00C52012">
        <w:rPr>
          <w:rFonts w:ascii="Arial" w:hAnsi="Arial" w:cs="Arial"/>
          <w:spacing w:val="-2"/>
          <w:kern w:val="0"/>
          <w:sz w:val="22"/>
          <w:szCs w:val="22"/>
        </w:rPr>
        <w:t>, 44,000 Han Chinese, and 85,000 Vietnamese. Most of them entered Korea on a non-professional employment visa (E-9), an overseas Korean visa (F-4), and a visiting employment (H-2) visa. The proportion of residents living in the Seoul Metropolitan Area reaches 60%, and they mainly work in manufacturing, wholesale and retail, food and lodging, and personal service businesses.</w:t>
      </w:r>
    </w:p>
    <w:p w14:paraId="4DA83C97" w14:textId="77777777" w:rsidR="00BC72F1" w:rsidRPr="00C52012" w:rsidRDefault="00BC72F1" w:rsidP="00C52012">
      <w:pPr>
        <w:widowControl/>
        <w:wordWrap/>
        <w:spacing w:line="276" w:lineRule="auto"/>
        <w:ind w:firstLine="128"/>
        <w:rPr>
          <w:rFonts w:ascii="Arial" w:hAnsi="Arial" w:cs="Arial"/>
          <w:kern w:val="0"/>
          <w:sz w:val="22"/>
          <w:szCs w:val="22"/>
        </w:rPr>
      </w:pPr>
      <w:r w:rsidRPr="00C52012">
        <w:rPr>
          <w:rFonts w:ascii="Arial" w:hAnsi="Arial" w:cs="Arial"/>
          <w:spacing w:val="-2"/>
          <w:kern w:val="0"/>
          <w:sz w:val="22"/>
          <w:szCs w:val="22"/>
        </w:rPr>
        <w:t>The Employment Permit System, first introduced in 2003, is divided into the general system, which issues non-professional work visas (E-9) to foreign nationals, and the special system, which grants visiting work visas (H-2) to compatriots with foreign nationality. As of 2019, the 16 countries that have signed a memorandum of understanding (MOU) for labor force transfer are the Philippines, Thailand, Indonesia, Sri Lanka, Vietnam, Mongolia, Uzbekistan, Cambodia, Pakistan, China, Bangladesh, Kyrgyzstan, Nepal, Myanmar, East Timor, and Laos. The workers under the Employment Permit System are engaged in five industries: manufacturing, construction, agriculture and livestock industry, service industry, and fishing industry.</w:t>
      </w:r>
    </w:p>
    <w:p w14:paraId="4A295BF9" w14:textId="7559EB55" w:rsidR="00BC72F1" w:rsidRPr="00D04319" w:rsidRDefault="00BC72F1" w:rsidP="00C52012">
      <w:pPr>
        <w:spacing w:line="276" w:lineRule="auto"/>
        <w:rPr>
          <w:rFonts w:ascii="Arial" w:hAnsi="Arial" w:cs="Arial"/>
          <w:sz w:val="22"/>
          <w:szCs w:val="22"/>
        </w:rPr>
      </w:pPr>
    </w:p>
    <w:p w14:paraId="15A61EB5" w14:textId="20F84E69" w:rsidR="00C26D3B" w:rsidRPr="00D04319" w:rsidRDefault="00C26D3B" w:rsidP="00C52012">
      <w:pPr>
        <w:spacing w:line="276" w:lineRule="auto"/>
        <w:rPr>
          <w:rFonts w:ascii="Arial" w:hAnsi="Arial" w:cs="Arial"/>
          <w:sz w:val="22"/>
          <w:szCs w:val="22"/>
        </w:rPr>
      </w:pPr>
      <w:r w:rsidRPr="00D04319">
        <w:rPr>
          <w:rFonts w:ascii="Arial" w:hAnsi="Arial" w:cs="Arial"/>
          <w:sz w:val="22"/>
          <w:szCs w:val="22"/>
        </w:rPr>
        <w:t xml:space="preserve">&lt;map&gt; </w:t>
      </w:r>
      <w:r w:rsidR="00D04319" w:rsidRPr="00D04319">
        <w:rPr>
          <w:rStyle w:val="A40"/>
          <w:rFonts w:ascii="Arial" w:hAnsi="Arial" w:cs="Arial"/>
        </w:rPr>
        <w:t>Inflow of Migrant Workers (2019)</w:t>
      </w:r>
    </w:p>
    <w:p w14:paraId="0673455D" w14:textId="6E204C9D" w:rsidR="00C26D3B" w:rsidRPr="00D04319" w:rsidRDefault="00C26D3B" w:rsidP="00C52012">
      <w:pPr>
        <w:spacing w:line="276" w:lineRule="auto"/>
        <w:rPr>
          <w:rFonts w:ascii="Arial" w:hAnsi="Arial" w:cs="Arial"/>
          <w:sz w:val="22"/>
          <w:szCs w:val="22"/>
        </w:rPr>
      </w:pPr>
      <w:r w:rsidRPr="00D04319">
        <w:rPr>
          <w:rFonts w:ascii="Arial" w:hAnsi="Arial" w:cs="Arial"/>
          <w:sz w:val="22"/>
          <w:szCs w:val="22"/>
        </w:rPr>
        <w:t xml:space="preserve">&lt;graph&gt; </w:t>
      </w:r>
      <w:r w:rsidR="00D04319" w:rsidRPr="00D04319">
        <w:rPr>
          <w:rStyle w:val="A40"/>
          <w:rFonts w:ascii="Arial" w:hAnsi="Arial" w:cs="Arial"/>
        </w:rPr>
        <w:t>Migrant workers under the General Employment Permit System by Industry (2004 – 2020)</w:t>
      </w:r>
    </w:p>
    <w:p w14:paraId="7B1DEC3D" w14:textId="5191A51A" w:rsidR="00C26D3B" w:rsidRPr="00D04319" w:rsidRDefault="00C26D3B" w:rsidP="00C52012">
      <w:pPr>
        <w:spacing w:line="276" w:lineRule="auto"/>
        <w:rPr>
          <w:rFonts w:ascii="Arial" w:hAnsi="Arial" w:cs="Arial"/>
          <w:sz w:val="22"/>
          <w:szCs w:val="22"/>
        </w:rPr>
      </w:pPr>
      <w:r w:rsidRPr="00D04319">
        <w:rPr>
          <w:rFonts w:ascii="Arial" w:hAnsi="Arial" w:cs="Arial"/>
          <w:sz w:val="22"/>
          <w:szCs w:val="22"/>
        </w:rPr>
        <w:t>&lt;map&gt;</w:t>
      </w:r>
      <w:r w:rsidR="00D04319" w:rsidRPr="00D04319">
        <w:rPr>
          <w:rFonts w:ascii="Arial" w:hAnsi="Arial" w:cs="Arial"/>
          <w:sz w:val="22"/>
          <w:szCs w:val="22"/>
        </w:rPr>
        <w:t xml:space="preserve"> </w:t>
      </w:r>
      <w:r w:rsidR="00D04319" w:rsidRPr="00D04319">
        <w:rPr>
          <w:rFonts w:ascii="Arial" w:hAnsi="Arial" w:cs="Arial"/>
          <w:sz w:val="22"/>
          <w:szCs w:val="22"/>
        </w:rPr>
        <w:t>Migrant Workers under the Employment Permit System (2020)</w:t>
      </w:r>
    </w:p>
    <w:p w14:paraId="684D5446" w14:textId="1A118DED" w:rsidR="00C26D3B" w:rsidRPr="00D04319" w:rsidRDefault="00D04319" w:rsidP="00C52012">
      <w:pPr>
        <w:spacing w:line="276" w:lineRule="auto"/>
        <w:rPr>
          <w:rFonts w:ascii="Arial" w:hAnsi="Arial" w:cs="Arial"/>
          <w:sz w:val="22"/>
          <w:szCs w:val="22"/>
        </w:rPr>
      </w:pPr>
      <w:r w:rsidRPr="00D04319">
        <w:rPr>
          <w:rFonts w:ascii="Arial" w:hAnsi="Arial" w:cs="Arial"/>
          <w:sz w:val="22"/>
          <w:szCs w:val="22"/>
        </w:rPr>
        <w:t xml:space="preserve">&lt;graph&gt; </w:t>
      </w:r>
      <w:r w:rsidRPr="00D04319">
        <w:rPr>
          <w:rStyle w:val="A40"/>
          <w:rFonts w:ascii="Arial" w:hAnsi="Arial" w:cs="Arial"/>
        </w:rPr>
        <w:t>Migrant Workers under the General Employment Permit System by Nationality (2004 – 2020)</w:t>
      </w:r>
    </w:p>
    <w:p w14:paraId="15F3C12A" w14:textId="77777777" w:rsidR="00C26D3B" w:rsidRPr="00C52012" w:rsidRDefault="00C26D3B" w:rsidP="00C52012">
      <w:pPr>
        <w:spacing w:line="276" w:lineRule="auto"/>
        <w:rPr>
          <w:rFonts w:ascii="Arial" w:hAnsi="Arial" w:cs="Arial" w:hint="eastAsia"/>
          <w:sz w:val="22"/>
          <w:szCs w:val="22"/>
        </w:rPr>
      </w:pPr>
    </w:p>
    <w:sectPr w:rsidR="00C26D3B" w:rsidRPr="00C52012" w:rsidSect="00510793">
      <w:pgSz w:w="11900" w:h="16840"/>
      <w:pgMar w:top="1985" w:right="1701" w:bottom="1701" w:left="1701" w:header="851" w:footer="992" w:gutter="0"/>
      <w:cols w:space="425"/>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FC516" w14:textId="77777777" w:rsidR="00702F32" w:rsidRDefault="00702F32" w:rsidP="00C52012">
      <w:r>
        <w:separator/>
      </w:r>
    </w:p>
  </w:endnote>
  <w:endnote w:type="continuationSeparator" w:id="0">
    <w:p w14:paraId="37C9A1FB" w14:textId="77777777" w:rsidR="00702F32" w:rsidRDefault="00702F32" w:rsidP="00C52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53B8E" w14:textId="77777777" w:rsidR="00702F32" w:rsidRDefault="00702F32" w:rsidP="00C52012">
      <w:r>
        <w:separator/>
      </w:r>
    </w:p>
  </w:footnote>
  <w:footnote w:type="continuationSeparator" w:id="0">
    <w:p w14:paraId="3554AC18" w14:textId="77777777" w:rsidR="00702F32" w:rsidRDefault="00702F32" w:rsidP="00C520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2F1"/>
    <w:rsid w:val="00510793"/>
    <w:rsid w:val="00580DE6"/>
    <w:rsid w:val="00702F32"/>
    <w:rsid w:val="00BC72F1"/>
    <w:rsid w:val="00C02D95"/>
    <w:rsid w:val="00C26D3B"/>
    <w:rsid w:val="00C52012"/>
    <w:rsid w:val="00D0431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F65B8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C26D3B"/>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BC72F1"/>
    <w:pPr>
      <w:widowControl/>
      <w:wordWrap/>
      <w:spacing w:line="1110" w:lineRule="atLeast"/>
      <w:jc w:val="left"/>
    </w:pPr>
    <w:rPr>
      <w:rFonts w:ascii="Palatino Linotype" w:hAnsi="Palatino Linotype" w:cs="Times New Roman"/>
      <w:kern w:val="0"/>
      <w:sz w:val="36"/>
      <w:szCs w:val="36"/>
    </w:rPr>
  </w:style>
  <w:style w:type="character" w:customStyle="1" w:styleId="s1">
    <w:name w:val="s1"/>
    <w:basedOn w:val="a0"/>
    <w:rsid w:val="00BC72F1"/>
    <w:rPr>
      <w:spacing w:val="-3"/>
    </w:rPr>
  </w:style>
  <w:style w:type="character" w:customStyle="1" w:styleId="apple-converted-space">
    <w:name w:val="apple-converted-space"/>
    <w:basedOn w:val="a0"/>
    <w:rsid w:val="00BC72F1"/>
  </w:style>
  <w:style w:type="character" w:customStyle="1" w:styleId="s2">
    <w:name w:val="s2"/>
    <w:basedOn w:val="a0"/>
    <w:rsid w:val="00BC72F1"/>
    <w:rPr>
      <w:rFonts w:ascii="Montserrat" w:hAnsi="Montserrat" w:hint="default"/>
      <w:spacing w:val="-3"/>
      <w:sz w:val="16"/>
      <w:szCs w:val="16"/>
    </w:rPr>
  </w:style>
  <w:style w:type="character" w:customStyle="1" w:styleId="s3">
    <w:name w:val="s3"/>
    <w:basedOn w:val="a0"/>
    <w:rsid w:val="00BC72F1"/>
    <w:rPr>
      <w:spacing w:val="-3"/>
    </w:rPr>
  </w:style>
  <w:style w:type="paragraph" w:styleId="a3">
    <w:name w:val="header"/>
    <w:basedOn w:val="a"/>
    <w:link w:val="Char"/>
    <w:uiPriority w:val="99"/>
    <w:unhideWhenUsed/>
    <w:rsid w:val="00C52012"/>
    <w:pPr>
      <w:tabs>
        <w:tab w:val="center" w:pos="4513"/>
        <w:tab w:val="right" w:pos="9026"/>
      </w:tabs>
      <w:snapToGrid w:val="0"/>
    </w:pPr>
  </w:style>
  <w:style w:type="character" w:customStyle="1" w:styleId="Char">
    <w:name w:val="머리글 Char"/>
    <w:basedOn w:val="a0"/>
    <w:link w:val="a3"/>
    <w:uiPriority w:val="99"/>
    <w:rsid w:val="00C52012"/>
  </w:style>
  <w:style w:type="paragraph" w:styleId="a4">
    <w:name w:val="footer"/>
    <w:basedOn w:val="a"/>
    <w:link w:val="Char0"/>
    <w:uiPriority w:val="99"/>
    <w:unhideWhenUsed/>
    <w:rsid w:val="00C52012"/>
    <w:pPr>
      <w:tabs>
        <w:tab w:val="center" w:pos="4513"/>
        <w:tab w:val="right" w:pos="9026"/>
      </w:tabs>
      <w:snapToGrid w:val="0"/>
    </w:pPr>
  </w:style>
  <w:style w:type="character" w:customStyle="1" w:styleId="Char0">
    <w:name w:val="바닥글 Char"/>
    <w:basedOn w:val="a0"/>
    <w:link w:val="a4"/>
    <w:uiPriority w:val="99"/>
    <w:rsid w:val="00C52012"/>
  </w:style>
  <w:style w:type="character" w:customStyle="1" w:styleId="A5">
    <w:name w:val="A5"/>
    <w:uiPriority w:val="99"/>
    <w:rsid w:val="00C52012"/>
    <w:rPr>
      <w:rFonts w:cs="Montserrat"/>
      <w:color w:val="211D1E"/>
      <w:sz w:val="21"/>
      <w:szCs w:val="21"/>
    </w:rPr>
  </w:style>
  <w:style w:type="character" w:customStyle="1" w:styleId="A40">
    <w:name w:val="A4"/>
    <w:uiPriority w:val="99"/>
    <w:rsid w:val="00C52012"/>
    <w:rPr>
      <w:rFonts w:cs="Montserrat"/>
      <w:color w:val="211D1E"/>
      <w:sz w:val="21"/>
      <w:szCs w:val="21"/>
    </w:rPr>
  </w:style>
  <w:style w:type="character" w:customStyle="1" w:styleId="A6">
    <w:name w:val="A6"/>
    <w:uiPriority w:val="99"/>
    <w:rsid w:val="00580DE6"/>
    <w:rPr>
      <w:rFonts w:cs="Montserrat"/>
      <w:color w:val="211D1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285990">
      <w:bodyDiv w:val="1"/>
      <w:marLeft w:val="0"/>
      <w:marRight w:val="0"/>
      <w:marTop w:val="0"/>
      <w:marBottom w:val="0"/>
      <w:divBdr>
        <w:top w:val="none" w:sz="0" w:space="0" w:color="auto"/>
        <w:left w:val="none" w:sz="0" w:space="0" w:color="auto"/>
        <w:bottom w:val="none" w:sz="0" w:space="0" w:color="auto"/>
        <w:right w:val="none" w:sz="0" w:space="0" w:color="auto"/>
      </w:divBdr>
    </w:div>
    <w:div w:id="343167507">
      <w:bodyDiv w:val="1"/>
      <w:marLeft w:val="0"/>
      <w:marRight w:val="0"/>
      <w:marTop w:val="0"/>
      <w:marBottom w:val="0"/>
      <w:divBdr>
        <w:top w:val="none" w:sz="0" w:space="0" w:color="auto"/>
        <w:left w:val="none" w:sz="0" w:space="0" w:color="auto"/>
        <w:bottom w:val="none" w:sz="0" w:space="0" w:color="auto"/>
        <w:right w:val="none" w:sz="0" w:space="0" w:color="auto"/>
      </w:divBdr>
    </w:div>
    <w:div w:id="357970443">
      <w:bodyDiv w:val="1"/>
      <w:marLeft w:val="0"/>
      <w:marRight w:val="0"/>
      <w:marTop w:val="0"/>
      <w:marBottom w:val="0"/>
      <w:divBdr>
        <w:top w:val="none" w:sz="0" w:space="0" w:color="auto"/>
        <w:left w:val="none" w:sz="0" w:space="0" w:color="auto"/>
        <w:bottom w:val="none" w:sz="0" w:space="0" w:color="auto"/>
        <w:right w:val="none" w:sz="0" w:space="0" w:color="auto"/>
      </w:divBdr>
    </w:div>
    <w:div w:id="533229434">
      <w:bodyDiv w:val="1"/>
      <w:marLeft w:val="0"/>
      <w:marRight w:val="0"/>
      <w:marTop w:val="0"/>
      <w:marBottom w:val="0"/>
      <w:divBdr>
        <w:top w:val="none" w:sz="0" w:space="0" w:color="auto"/>
        <w:left w:val="none" w:sz="0" w:space="0" w:color="auto"/>
        <w:bottom w:val="none" w:sz="0" w:space="0" w:color="auto"/>
        <w:right w:val="none" w:sz="0" w:space="0" w:color="auto"/>
      </w:divBdr>
    </w:div>
    <w:div w:id="705251454">
      <w:bodyDiv w:val="1"/>
      <w:marLeft w:val="0"/>
      <w:marRight w:val="0"/>
      <w:marTop w:val="0"/>
      <w:marBottom w:val="0"/>
      <w:divBdr>
        <w:top w:val="none" w:sz="0" w:space="0" w:color="auto"/>
        <w:left w:val="none" w:sz="0" w:space="0" w:color="auto"/>
        <w:bottom w:val="none" w:sz="0" w:space="0" w:color="auto"/>
        <w:right w:val="none" w:sz="0" w:space="0" w:color="auto"/>
      </w:divBdr>
    </w:div>
    <w:div w:id="929197633">
      <w:bodyDiv w:val="1"/>
      <w:marLeft w:val="0"/>
      <w:marRight w:val="0"/>
      <w:marTop w:val="0"/>
      <w:marBottom w:val="0"/>
      <w:divBdr>
        <w:top w:val="none" w:sz="0" w:space="0" w:color="auto"/>
        <w:left w:val="none" w:sz="0" w:space="0" w:color="auto"/>
        <w:bottom w:val="none" w:sz="0" w:space="0" w:color="auto"/>
        <w:right w:val="none" w:sz="0" w:space="0" w:color="auto"/>
      </w:divBdr>
    </w:div>
    <w:div w:id="1097556985">
      <w:bodyDiv w:val="1"/>
      <w:marLeft w:val="0"/>
      <w:marRight w:val="0"/>
      <w:marTop w:val="0"/>
      <w:marBottom w:val="0"/>
      <w:divBdr>
        <w:top w:val="none" w:sz="0" w:space="0" w:color="auto"/>
        <w:left w:val="none" w:sz="0" w:space="0" w:color="auto"/>
        <w:bottom w:val="none" w:sz="0" w:space="0" w:color="auto"/>
        <w:right w:val="none" w:sz="0" w:space="0" w:color="auto"/>
      </w:divBdr>
    </w:div>
    <w:div w:id="1330862561">
      <w:bodyDiv w:val="1"/>
      <w:marLeft w:val="0"/>
      <w:marRight w:val="0"/>
      <w:marTop w:val="0"/>
      <w:marBottom w:val="0"/>
      <w:divBdr>
        <w:top w:val="none" w:sz="0" w:space="0" w:color="auto"/>
        <w:left w:val="none" w:sz="0" w:space="0" w:color="auto"/>
        <w:bottom w:val="none" w:sz="0" w:space="0" w:color="auto"/>
        <w:right w:val="none" w:sz="0" w:space="0" w:color="auto"/>
      </w:divBdr>
    </w:div>
    <w:div w:id="1547183249">
      <w:bodyDiv w:val="1"/>
      <w:marLeft w:val="0"/>
      <w:marRight w:val="0"/>
      <w:marTop w:val="0"/>
      <w:marBottom w:val="0"/>
      <w:divBdr>
        <w:top w:val="none" w:sz="0" w:space="0" w:color="auto"/>
        <w:left w:val="none" w:sz="0" w:space="0" w:color="auto"/>
        <w:bottom w:val="none" w:sz="0" w:space="0" w:color="auto"/>
        <w:right w:val="none" w:sz="0" w:space="0" w:color="auto"/>
      </w:divBdr>
    </w:div>
    <w:div w:id="1575047552">
      <w:bodyDiv w:val="1"/>
      <w:marLeft w:val="0"/>
      <w:marRight w:val="0"/>
      <w:marTop w:val="0"/>
      <w:marBottom w:val="0"/>
      <w:divBdr>
        <w:top w:val="none" w:sz="0" w:space="0" w:color="auto"/>
        <w:left w:val="none" w:sz="0" w:space="0" w:color="auto"/>
        <w:bottom w:val="none" w:sz="0" w:space="0" w:color="auto"/>
        <w:right w:val="none" w:sz="0" w:space="0" w:color="auto"/>
      </w:divBdr>
    </w:div>
    <w:div w:id="1752114748">
      <w:bodyDiv w:val="1"/>
      <w:marLeft w:val="0"/>
      <w:marRight w:val="0"/>
      <w:marTop w:val="0"/>
      <w:marBottom w:val="0"/>
      <w:divBdr>
        <w:top w:val="none" w:sz="0" w:space="0" w:color="auto"/>
        <w:left w:val="none" w:sz="0" w:space="0" w:color="auto"/>
        <w:bottom w:val="none" w:sz="0" w:space="0" w:color="auto"/>
        <w:right w:val="none" w:sz="0" w:space="0" w:color="auto"/>
      </w:divBdr>
    </w:div>
    <w:div w:id="19603322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2192</Words>
  <Characters>12495</Characters>
  <Application>Microsoft Office Word</Application>
  <DocSecurity>0</DocSecurity>
  <Lines>104</Lines>
  <Paragraphs>29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3</cp:revision>
  <dcterms:created xsi:type="dcterms:W3CDTF">2022-06-15T04:38:00Z</dcterms:created>
  <dcterms:modified xsi:type="dcterms:W3CDTF">2022-06-16T08:02:00Z</dcterms:modified>
</cp:coreProperties>
</file>