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6F0F" w14:textId="77777777" w:rsidR="009E1CCE" w:rsidRDefault="009E1CCE" w:rsidP="009E1CCE">
      <w:pPr>
        <w:pStyle w:val="p1"/>
        <w:spacing w:line="276" w:lineRule="auto"/>
        <w:jc w:val="both"/>
        <w:rPr>
          <w:rFonts w:ascii="Arial" w:hAnsi="Arial" w:cs="Arial"/>
          <w:b/>
          <w:bCs/>
          <w:sz w:val="32"/>
          <w:szCs w:val="32"/>
        </w:rPr>
      </w:pPr>
      <w:r w:rsidRPr="00171F55">
        <w:rPr>
          <w:rStyle w:val="s1"/>
          <w:rFonts w:ascii="Arial" w:hAnsi="Arial" w:cs="Arial"/>
          <w:b/>
          <w:bCs/>
          <w:sz w:val="32"/>
          <w:szCs w:val="32"/>
        </w:rPr>
        <w:t>2. POPULATION AND LIVING</w:t>
      </w:r>
    </w:p>
    <w:p w14:paraId="678DA82C" w14:textId="77777777" w:rsidR="009E1CCE" w:rsidRPr="009E1CCE" w:rsidRDefault="009E1CCE" w:rsidP="009E1CCE">
      <w:pPr>
        <w:pStyle w:val="p1"/>
        <w:spacing w:line="276" w:lineRule="auto"/>
        <w:jc w:val="both"/>
        <w:rPr>
          <w:rFonts w:ascii="Arial" w:hAnsi="Arial" w:cs="Arial"/>
          <w:b/>
          <w:bCs/>
          <w:sz w:val="22"/>
          <w:szCs w:val="22"/>
        </w:rPr>
      </w:pPr>
    </w:p>
    <w:p w14:paraId="70EB3382" w14:textId="57836A30" w:rsidR="009635EE" w:rsidRPr="004D730E" w:rsidRDefault="009E1CCE" w:rsidP="009E1CCE">
      <w:pPr>
        <w:pStyle w:val="p1"/>
        <w:spacing w:line="276" w:lineRule="auto"/>
        <w:jc w:val="both"/>
        <w:rPr>
          <w:rFonts w:ascii="Arial" w:hAnsi="Arial" w:cs="Arial"/>
          <w:b/>
          <w:bCs/>
          <w:sz w:val="24"/>
          <w:szCs w:val="24"/>
        </w:rPr>
      </w:pPr>
      <w:r w:rsidRPr="004D730E">
        <w:rPr>
          <w:rStyle w:val="s1"/>
          <w:rFonts w:ascii="Arial" w:hAnsi="Arial" w:cs="Arial"/>
          <w:b/>
          <w:bCs/>
          <w:sz w:val="24"/>
          <w:szCs w:val="24"/>
        </w:rPr>
        <w:t xml:space="preserve">2.4 </w:t>
      </w:r>
      <w:r w:rsidR="009635EE" w:rsidRPr="004D730E">
        <w:rPr>
          <w:rStyle w:val="s1"/>
          <w:rFonts w:ascii="Arial" w:hAnsi="Arial" w:cs="Arial"/>
          <w:b/>
          <w:bCs/>
          <w:sz w:val="24"/>
          <w:szCs w:val="24"/>
        </w:rPr>
        <w:t>Household and Household Members</w:t>
      </w:r>
      <w:r w:rsidR="009635EE" w:rsidRPr="004D730E">
        <w:rPr>
          <w:rStyle w:val="apple-converted-space"/>
          <w:rFonts w:ascii="Arial" w:hAnsi="Arial" w:cs="Arial"/>
          <w:b/>
          <w:bCs/>
          <w:spacing w:val="-3"/>
          <w:sz w:val="24"/>
          <w:szCs w:val="24"/>
        </w:rPr>
        <w:t> </w:t>
      </w:r>
    </w:p>
    <w:p w14:paraId="0A23EA15" w14:textId="77777777" w:rsidR="000B0E62" w:rsidRPr="009E1CCE" w:rsidRDefault="00097B76" w:rsidP="009E1CCE">
      <w:pPr>
        <w:spacing w:line="276" w:lineRule="auto"/>
        <w:rPr>
          <w:rFonts w:ascii="Arial" w:hAnsi="Arial" w:cs="Arial"/>
          <w:sz w:val="22"/>
          <w:szCs w:val="22"/>
        </w:rPr>
      </w:pPr>
    </w:p>
    <w:p w14:paraId="001C39A3"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kern w:val="0"/>
          <w:sz w:val="22"/>
          <w:szCs w:val="22"/>
        </w:rPr>
        <w:t>A household is a living unit of one or more persons who share a dwelling. Households are divided into general, collective, and foreign households. As the population increases, the number of households also increases, but the number of households grows faster than the number of persons. As of 2020, there are 21.5 million households in Korea, and the growth rate of foreign households is the highest among households. In Korea, surveys on households are usually conducted only for general households.</w:t>
      </w:r>
    </w:p>
    <w:p w14:paraId="55DBC1FC"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kern w:val="0"/>
          <w:sz w:val="22"/>
          <w:szCs w:val="22"/>
        </w:rPr>
        <w:t>The number of persons who make up a household has changed over time. Households with six or more persons were most common in 1970, accounting for 44 percent of all households. As of 2020, among a total of 20.9 million households, single-person households (6.6 million households) were the largest and accounted for 32 percent of all households, while two-person households (5.9 million households) accounted for 28 percent. The number of households with two or fewer members was 12.5 million, or 60 percent of the general households. The average number of persons per household was 5.2 in 1970 but fell to 2.3 in 2020.</w:t>
      </w:r>
    </w:p>
    <w:p w14:paraId="6AADBAFC"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kern w:val="0"/>
          <w:sz w:val="22"/>
          <w:szCs w:val="22"/>
        </w:rPr>
        <w:t xml:space="preserve">The low birth rate, the aging population, and the increase in single-person households are problems in Korea and part of a larger global phenomenon. As a result, the average number of household members is also decreasing. Compared with OECD countries as of 2015, the average number of household members in Korea is </w:t>
      </w:r>
      <w:proofErr w:type="gramStart"/>
      <w:r w:rsidRPr="009E1CCE">
        <w:rPr>
          <w:rFonts w:ascii="Arial" w:hAnsi="Arial" w:cs="Arial"/>
          <w:kern w:val="0"/>
          <w:sz w:val="22"/>
          <w:szCs w:val="22"/>
        </w:rPr>
        <w:t>similar to</w:t>
      </w:r>
      <w:proofErr w:type="gramEnd"/>
      <w:r w:rsidRPr="009E1CCE">
        <w:rPr>
          <w:rFonts w:ascii="Arial" w:hAnsi="Arial" w:cs="Arial"/>
          <w:kern w:val="0"/>
          <w:sz w:val="22"/>
          <w:szCs w:val="22"/>
        </w:rPr>
        <w:t xml:space="preserve"> that of Spain and the United States. Most OECD countries have a lower average number of household members than Korea. Nordic countries such as Sweden have an even lower average number of household members. Furthermore, the proportion of single-person households in OECD countries exceeds 30 percent on average. Considering that the W is rapidly increasing in Korea, the average number of household members in Korea will continue to decrease.</w:t>
      </w:r>
    </w:p>
    <w:p w14:paraId="25EB46FD" w14:textId="15353979" w:rsidR="009635EE" w:rsidRPr="002625BF" w:rsidRDefault="009635EE" w:rsidP="009E1CCE">
      <w:pPr>
        <w:spacing w:line="276" w:lineRule="auto"/>
        <w:rPr>
          <w:rFonts w:ascii="Arial" w:hAnsi="Arial" w:cs="Arial"/>
          <w:sz w:val="22"/>
          <w:szCs w:val="22"/>
        </w:rPr>
      </w:pPr>
    </w:p>
    <w:p w14:paraId="3DED31FC" w14:textId="5D3EC077" w:rsidR="002625BF" w:rsidRPr="002625BF" w:rsidRDefault="002625BF" w:rsidP="009E1CCE">
      <w:pPr>
        <w:spacing w:line="276" w:lineRule="auto"/>
        <w:rPr>
          <w:rFonts w:ascii="Arial" w:hAnsi="Arial" w:cs="Arial"/>
          <w:sz w:val="22"/>
          <w:szCs w:val="22"/>
        </w:rPr>
      </w:pPr>
      <w:r w:rsidRPr="002625BF">
        <w:rPr>
          <w:rFonts w:ascii="Arial" w:hAnsi="Arial" w:cs="Arial"/>
          <w:sz w:val="22"/>
          <w:szCs w:val="22"/>
        </w:rPr>
        <w:t xml:space="preserve">&lt;graph&gt; </w:t>
      </w:r>
      <w:r w:rsidRPr="002625BF">
        <w:rPr>
          <w:rFonts w:ascii="Arial" w:hAnsi="Arial" w:cs="Arial"/>
          <w:sz w:val="22"/>
          <w:szCs w:val="22"/>
        </w:rPr>
        <w:t>Changes in Population and Household</w:t>
      </w:r>
    </w:p>
    <w:p w14:paraId="0F50F91A" w14:textId="70A7D25D" w:rsidR="002625BF" w:rsidRPr="002625BF" w:rsidRDefault="002625BF" w:rsidP="002625BF">
      <w:pPr>
        <w:pStyle w:val="Default"/>
        <w:rPr>
          <w:rFonts w:ascii="Arial" w:hAnsi="Arial" w:cs="Arial"/>
          <w:sz w:val="22"/>
          <w:szCs w:val="22"/>
        </w:rPr>
      </w:pPr>
      <w:r w:rsidRPr="002625BF">
        <w:rPr>
          <w:rFonts w:ascii="Arial" w:hAnsi="Arial" w:cs="Arial"/>
          <w:sz w:val="22"/>
          <w:szCs w:val="22"/>
        </w:rPr>
        <w:t xml:space="preserve">&lt;graph&gt; </w:t>
      </w:r>
      <w:r w:rsidRPr="002625BF">
        <w:rPr>
          <w:rStyle w:val="A30"/>
          <w:rFonts w:ascii="Arial" w:hAnsi="Arial" w:cs="Arial"/>
          <w:sz w:val="22"/>
          <w:szCs w:val="22"/>
        </w:rPr>
        <w:t>Changes in Average Household Size</w:t>
      </w:r>
    </w:p>
    <w:p w14:paraId="34FFE40A" w14:textId="5FB30E40" w:rsidR="002625BF" w:rsidRPr="002625BF" w:rsidRDefault="002625BF" w:rsidP="009E1CCE">
      <w:pPr>
        <w:spacing w:line="276" w:lineRule="auto"/>
        <w:rPr>
          <w:rFonts w:ascii="Arial" w:hAnsi="Arial" w:cs="Arial"/>
          <w:sz w:val="22"/>
          <w:szCs w:val="22"/>
        </w:rPr>
      </w:pPr>
      <w:r w:rsidRPr="002625BF">
        <w:rPr>
          <w:rFonts w:ascii="Arial" w:hAnsi="Arial" w:cs="Arial"/>
          <w:sz w:val="22"/>
          <w:szCs w:val="22"/>
        </w:rPr>
        <w:t xml:space="preserve">&lt;table&gt; </w:t>
      </w:r>
      <w:r w:rsidRPr="002625BF">
        <w:rPr>
          <w:rFonts w:ascii="Arial" w:hAnsi="Arial" w:cs="Arial"/>
          <w:sz w:val="22"/>
          <w:szCs w:val="22"/>
        </w:rPr>
        <w:t>Changes in Household Composition</w:t>
      </w:r>
    </w:p>
    <w:p w14:paraId="7F57A410" w14:textId="64E19E87" w:rsidR="002625BF" w:rsidRPr="002625BF" w:rsidRDefault="002625BF" w:rsidP="002625BF">
      <w:pPr>
        <w:pStyle w:val="Default"/>
        <w:rPr>
          <w:rFonts w:ascii="Arial" w:hAnsi="Arial" w:cs="Arial"/>
          <w:sz w:val="22"/>
          <w:szCs w:val="22"/>
        </w:rPr>
      </w:pPr>
      <w:r w:rsidRPr="002625BF">
        <w:rPr>
          <w:rFonts w:ascii="Arial" w:hAnsi="Arial" w:cs="Arial"/>
          <w:sz w:val="22"/>
          <w:szCs w:val="22"/>
        </w:rPr>
        <w:t xml:space="preserve">&lt;graph&gt; </w:t>
      </w:r>
      <w:r w:rsidRPr="002625BF">
        <w:rPr>
          <w:rStyle w:val="A30"/>
          <w:rFonts w:ascii="Arial" w:hAnsi="Arial" w:cs="Arial"/>
          <w:sz w:val="22"/>
          <w:szCs w:val="22"/>
        </w:rPr>
        <w:t>OECD Average Number of Household Members</w:t>
      </w:r>
    </w:p>
    <w:p w14:paraId="438AEA56" w14:textId="77777777" w:rsidR="002625BF" w:rsidRPr="002625BF" w:rsidRDefault="002625BF" w:rsidP="009E1CCE">
      <w:pPr>
        <w:spacing w:line="276" w:lineRule="auto"/>
        <w:rPr>
          <w:rFonts w:ascii="Arial" w:hAnsi="Arial" w:cs="Arial"/>
          <w:sz w:val="22"/>
          <w:szCs w:val="22"/>
        </w:rPr>
      </w:pPr>
    </w:p>
    <w:p w14:paraId="743AF77C" w14:textId="77777777" w:rsidR="002625BF" w:rsidRPr="002625BF" w:rsidRDefault="002625BF">
      <w:pPr>
        <w:widowControl/>
        <w:wordWrap/>
        <w:jc w:val="left"/>
        <w:rPr>
          <w:rFonts w:ascii="Arial" w:hAnsi="Arial" w:cs="Arial"/>
          <w:b/>
          <w:bCs/>
          <w:spacing w:val="-5"/>
          <w:kern w:val="0"/>
          <w:sz w:val="22"/>
          <w:szCs w:val="22"/>
        </w:rPr>
      </w:pPr>
      <w:r w:rsidRPr="002625BF">
        <w:rPr>
          <w:rFonts w:ascii="Arial" w:hAnsi="Arial" w:cs="Arial"/>
          <w:b/>
          <w:bCs/>
          <w:spacing w:val="-5"/>
          <w:kern w:val="0"/>
          <w:sz w:val="22"/>
          <w:szCs w:val="22"/>
        </w:rPr>
        <w:br w:type="page"/>
      </w:r>
    </w:p>
    <w:p w14:paraId="7972AC1C" w14:textId="7A5A45F6" w:rsidR="002625BF" w:rsidRPr="009E1CCE" w:rsidRDefault="002625BF" w:rsidP="002625BF">
      <w:pPr>
        <w:widowControl/>
        <w:wordWrap/>
        <w:spacing w:line="276" w:lineRule="auto"/>
        <w:rPr>
          <w:rFonts w:ascii="Arial" w:hAnsi="Arial" w:cs="Arial"/>
          <w:kern w:val="0"/>
          <w:sz w:val="22"/>
          <w:szCs w:val="22"/>
        </w:rPr>
      </w:pPr>
      <w:r w:rsidRPr="009E1CCE">
        <w:rPr>
          <w:rFonts w:ascii="Arial" w:hAnsi="Arial" w:cs="Arial"/>
          <w:b/>
          <w:bCs/>
          <w:spacing w:val="-5"/>
          <w:kern w:val="0"/>
          <w:sz w:val="22"/>
          <w:szCs w:val="22"/>
        </w:rPr>
        <w:lastRenderedPageBreak/>
        <w:t>Changes in Household </w:t>
      </w:r>
    </w:p>
    <w:p w14:paraId="2065B8E3" w14:textId="7C095827" w:rsidR="002625BF" w:rsidRPr="00C562C9" w:rsidRDefault="002625BF" w:rsidP="009E1CCE">
      <w:pPr>
        <w:spacing w:line="276" w:lineRule="auto"/>
        <w:rPr>
          <w:rFonts w:ascii="Arial" w:hAnsi="Arial" w:cs="Arial"/>
          <w:sz w:val="22"/>
          <w:szCs w:val="22"/>
        </w:rPr>
      </w:pPr>
    </w:p>
    <w:p w14:paraId="0D87DC4A" w14:textId="6BCB5B05" w:rsidR="00C562C9" w:rsidRPr="00C562C9" w:rsidRDefault="00C562C9" w:rsidP="00C562C9">
      <w:pPr>
        <w:pStyle w:val="Default"/>
        <w:rPr>
          <w:rFonts w:ascii="Arial" w:hAnsi="Arial" w:cs="Arial"/>
          <w:sz w:val="22"/>
          <w:szCs w:val="22"/>
        </w:rPr>
      </w:pPr>
      <w:r w:rsidRPr="00C562C9">
        <w:rPr>
          <w:rFonts w:ascii="Arial" w:hAnsi="Arial" w:cs="Arial"/>
          <w:sz w:val="22"/>
          <w:szCs w:val="22"/>
        </w:rPr>
        <w:t xml:space="preserve">&lt;map&gt; </w:t>
      </w:r>
      <w:r w:rsidRPr="00C562C9">
        <w:rPr>
          <w:rStyle w:val="A40"/>
          <w:rFonts w:ascii="Arial" w:hAnsi="Arial" w:cs="Arial"/>
          <w:sz w:val="22"/>
          <w:szCs w:val="22"/>
        </w:rPr>
        <w:t>Household Changes (2015 –2020)</w:t>
      </w:r>
    </w:p>
    <w:p w14:paraId="09EFCED3" w14:textId="4193E7E0" w:rsidR="00C562C9" w:rsidRPr="00C562C9" w:rsidRDefault="00C562C9" w:rsidP="00C562C9">
      <w:pPr>
        <w:spacing w:line="276" w:lineRule="auto"/>
        <w:rPr>
          <w:rFonts w:ascii="Arial" w:hAnsi="Arial" w:cs="Arial"/>
          <w:sz w:val="22"/>
          <w:szCs w:val="22"/>
        </w:rPr>
      </w:pPr>
      <w:r w:rsidRPr="00C562C9">
        <w:rPr>
          <w:rFonts w:ascii="Arial" w:hAnsi="Arial" w:cs="Arial"/>
          <w:sz w:val="22"/>
          <w:szCs w:val="22"/>
        </w:rPr>
        <w:t xml:space="preserve">&lt;table&gt; </w:t>
      </w:r>
      <w:r w:rsidRPr="00C562C9">
        <w:rPr>
          <w:rFonts w:ascii="Arial" w:hAnsi="Arial" w:cs="Arial"/>
          <w:sz w:val="22"/>
          <w:szCs w:val="22"/>
        </w:rPr>
        <w:t>Population and Household</w:t>
      </w:r>
      <w:r w:rsidRPr="00C562C9">
        <w:rPr>
          <w:rFonts w:ascii="Arial" w:hAnsi="Arial" w:cs="Arial"/>
          <w:sz w:val="22"/>
          <w:szCs w:val="22"/>
        </w:rPr>
        <w:t xml:space="preserve"> </w:t>
      </w:r>
      <w:r w:rsidRPr="00C562C9">
        <w:rPr>
          <w:rFonts w:ascii="Arial" w:hAnsi="Arial" w:cs="Arial"/>
          <w:sz w:val="22"/>
          <w:szCs w:val="22"/>
        </w:rPr>
        <w:t>by Provinces (1980, 2020)</w:t>
      </w:r>
    </w:p>
    <w:p w14:paraId="18EA0956" w14:textId="29A7C791" w:rsidR="00C562C9" w:rsidRPr="00C562C9" w:rsidRDefault="00C562C9" w:rsidP="00C562C9">
      <w:pPr>
        <w:pStyle w:val="Default"/>
        <w:rPr>
          <w:rFonts w:ascii="Arial" w:hAnsi="Arial" w:cs="Arial"/>
          <w:sz w:val="22"/>
          <w:szCs w:val="22"/>
        </w:rPr>
      </w:pPr>
      <w:r w:rsidRPr="00C562C9">
        <w:rPr>
          <w:rFonts w:ascii="Arial" w:hAnsi="Arial" w:cs="Arial"/>
          <w:sz w:val="22"/>
          <w:szCs w:val="22"/>
        </w:rPr>
        <w:t xml:space="preserve">&lt;graph&gt; </w:t>
      </w:r>
      <w:r w:rsidRPr="00C562C9">
        <w:rPr>
          <w:rStyle w:val="A30"/>
          <w:rFonts w:ascii="Arial" w:hAnsi="Arial" w:cs="Arial"/>
          <w:sz w:val="22"/>
          <w:szCs w:val="22"/>
        </w:rPr>
        <w:t>Changes in Average Household Size by Provinces (1980–2020)</w:t>
      </w:r>
    </w:p>
    <w:p w14:paraId="321E0BDF" w14:textId="33FA93D8" w:rsidR="00C562C9" w:rsidRPr="00C562C9" w:rsidRDefault="00C562C9" w:rsidP="009E1CCE">
      <w:pPr>
        <w:spacing w:line="276" w:lineRule="auto"/>
        <w:rPr>
          <w:rFonts w:ascii="Arial" w:hAnsi="Arial" w:cs="Arial"/>
          <w:sz w:val="22"/>
          <w:szCs w:val="22"/>
        </w:rPr>
      </w:pPr>
      <w:r w:rsidRPr="00C562C9">
        <w:rPr>
          <w:rFonts w:ascii="Arial" w:hAnsi="Arial" w:cs="Arial"/>
          <w:sz w:val="22"/>
          <w:szCs w:val="22"/>
        </w:rPr>
        <w:t xml:space="preserve">&lt;graph&gt; </w:t>
      </w:r>
      <w:r w:rsidRPr="00C562C9">
        <w:rPr>
          <w:rFonts w:ascii="Arial" w:hAnsi="Arial" w:cs="Arial"/>
          <w:sz w:val="22"/>
          <w:szCs w:val="22"/>
        </w:rPr>
        <w:t>Household Projections by Household Size</w:t>
      </w:r>
    </w:p>
    <w:p w14:paraId="1625CFBB" w14:textId="77777777" w:rsidR="00C562C9" w:rsidRPr="009E1CCE" w:rsidRDefault="00C562C9" w:rsidP="009E1CCE">
      <w:pPr>
        <w:spacing w:line="276" w:lineRule="auto"/>
        <w:rPr>
          <w:rFonts w:ascii="Arial" w:hAnsi="Arial" w:cs="Arial" w:hint="eastAsia"/>
          <w:sz w:val="22"/>
          <w:szCs w:val="22"/>
        </w:rPr>
      </w:pPr>
    </w:p>
    <w:p w14:paraId="4E0F31E6"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The number of households is increasing very rapidly. From 2015 to 2020, the number of households increased in most areas of the country, except for rural areas, border areas, and old downtown areas. The annual average change in the number of households is very high, especially in new towns, such as </w:t>
      </w:r>
      <w:proofErr w:type="spellStart"/>
      <w:r w:rsidRPr="009E1CCE">
        <w:rPr>
          <w:rFonts w:ascii="Arial" w:hAnsi="Arial" w:cs="Arial"/>
          <w:spacing w:val="-2"/>
          <w:kern w:val="0"/>
          <w:sz w:val="22"/>
          <w:szCs w:val="22"/>
        </w:rPr>
        <w:t>Hanam-si</w:t>
      </w:r>
      <w:proofErr w:type="spellEnd"/>
      <w:r w:rsidRPr="009E1CCE">
        <w:rPr>
          <w:rFonts w:ascii="Arial" w:hAnsi="Arial" w:cs="Arial"/>
          <w:spacing w:val="-2"/>
          <w:kern w:val="0"/>
          <w:sz w:val="22"/>
          <w:szCs w:val="22"/>
        </w:rPr>
        <w:t xml:space="preserve"> in Gyeonggi-do (20.2%), </w:t>
      </w:r>
      <w:proofErr w:type="spellStart"/>
      <w:r w:rsidRPr="009E1CCE">
        <w:rPr>
          <w:rFonts w:ascii="Arial" w:hAnsi="Arial" w:cs="Arial"/>
          <w:spacing w:val="-2"/>
          <w:kern w:val="0"/>
          <w:sz w:val="22"/>
          <w:szCs w:val="22"/>
        </w:rPr>
        <w:t>Hwaseong-si</w:t>
      </w:r>
      <w:proofErr w:type="spellEnd"/>
      <w:r w:rsidRPr="009E1CCE">
        <w:rPr>
          <w:rFonts w:ascii="Arial" w:hAnsi="Arial" w:cs="Arial"/>
          <w:spacing w:val="-2"/>
          <w:kern w:val="0"/>
          <w:sz w:val="22"/>
          <w:szCs w:val="22"/>
        </w:rPr>
        <w:t xml:space="preserve"> in Gyeonggi-do (11.8%), </w:t>
      </w:r>
      <w:proofErr w:type="spellStart"/>
      <w:r w:rsidRPr="009E1CCE">
        <w:rPr>
          <w:rFonts w:ascii="Arial" w:hAnsi="Arial" w:cs="Arial"/>
          <w:spacing w:val="-2"/>
          <w:kern w:val="0"/>
          <w:sz w:val="22"/>
          <w:szCs w:val="22"/>
        </w:rPr>
        <w:t>Gimpo-si</w:t>
      </w:r>
      <w:proofErr w:type="spellEnd"/>
      <w:r w:rsidRPr="009E1CCE">
        <w:rPr>
          <w:rFonts w:ascii="Arial" w:hAnsi="Arial" w:cs="Arial"/>
          <w:spacing w:val="-2"/>
          <w:kern w:val="0"/>
          <w:sz w:val="22"/>
          <w:szCs w:val="22"/>
        </w:rPr>
        <w:t xml:space="preserve"> in Gyeonggi-do (9.0%), </w:t>
      </w:r>
      <w:proofErr w:type="spellStart"/>
      <w:r w:rsidRPr="009E1CCE">
        <w:rPr>
          <w:rFonts w:ascii="Arial" w:hAnsi="Arial" w:cs="Arial"/>
          <w:spacing w:val="-2"/>
          <w:kern w:val="0"/>
          <w:sz w:val="22"/>
          <w:szCs w:val="22"/>
        </w:rPr>
        <w:t>Siheung-si</w:t>
      </w:r>
      <w:proofErr w:type="spellEnd"/>
      <w:r w:rsidRPr="009E1CCE">
        <w:rPr>
          <w:rFonts w:ascii="Arial" w:hAnsi="Arial" w:cs="Arial"/>
          <w:spacing w:val="-2"/>
          <w:kern w:val="0"/>
          <w:sz w:val="22"/>
          <w:szCs w:val="22"/>
        </w:rPr>
        <w:t xml:space="preserve"> in Gyeonggi-do (6.9%), Sejong (16.9%), </w:t>
      </w:r>
      <w:proofErr w:type="spellStart"/>
      <w:r w:rsidRPr="009E1CCE">
        <w:rPr>
          <w:rFonts w:ascii="Arial" w:hAnsi="Arial" w:cs="Arial"/>
          <w:spacing w:val="-2"/>
          <w:kern w:val="0"/>
          <w:sz w:val="22"/>
          <w:szCs w:val="22"/>
        </w:rPr>
        <w:t>Gangseo-gu</w:t>
      </w:r>
      <w:proofErr w:type="spellEnd"/>
      <w:r w:rsidRPr="009E1CCE">
        <w:rPr>
          <w:rFonts w:ascii="Arial" w:hAnsi="Arial" w:cs="Arial"/>
          <w:spacing w:val="-2"/>
          <w:kern w:val="0"/>
          <w:sz w:val="22"/>
          <w:szCs w:val="22"/>
        </w:rPr>
        <w:t xml:space="preserve">, Busan (10.9%), </w:t>
      </w:r>
      <w:proofErr w:type="spellStart"/>
      <w:r w:rsidRPr="009E1CCE">
        <w:rPr>
          <w:rFonts w:ascii="Arial" w:hAnsi="Arial" w:cs="Arial"/>
          <w:spacing w:val="-2"/>
          <w:kern w:val="0"/>
          <w:sz w:val="22"/>
          <w:szCs w:val="22"/>
        </w:rPr>
        <w:t>Dalseong</w:t>
      </w:r>
      <w:proofErr w:type="spellEnd"/>
      <w:r w:rsidRPr="009E1CCE">
        <w:rPr>
          <w:rFonts w:ascii="Arial" w:hAnsi="Arial" w:cs="Arial"/>
          <w:spacing w:val="-2"/>
          <w:kern w:val="0"/>
          <w:sz w:val="22"/>
          <w:szCs w:val="22"/>
        </w:rPr>
        <w:t xml:space="preserve">-gun in Daegu (9.9%), and </w:t>
      </w:r>
      <w:proofErr w:type="spellStart"/>
      <w:r w:rsidRPr="009E1CCE">
        <w:rPr>
          <w:rFonts w:ascii="Arial" w:hAnsi="Arial" w:cs="Arial"/>
          <w:spacing w:val="-2"/>
          <w:kern w:val="0"/>
          <w:sz w:val="22"/>
          <w:szCs w:val="22"/>
        </w:rPr>
        <w:t>Jincheon</w:t>
      </w:r>
      <w:proofErr w:type="spellEnd"/>
      <w:r w:rsidRPr="009E1CCE">
        <w:rPr>
          <w:rFonts w:ascii="Arial" w:hAnsi="Arial" w:cs="Arial"/>
          <w:spacing w:val="-2"/>
          <w:kern w:val="0"/>
          <w:sz w:val="22"/>
          <w:szCs w:val="22"/>
        </w:rPr>
        <w:t xml:space="preserve">-gun in </w:t>
      </w:r>
      <w:proofErr w:type="spellStart"/>
      <w:r w:rsidRPr="009E1CCE">
        <w:rPr>
          <w:rFonts w:ascii="Arial" w:hAnsi="Arial" w:cs="Arial"/>
          <w:spacing w:val="-2"/>
          <w:kern w:val="0"/>
          <w:sz w:val="22"/>
          <w:szCs w:val="22"/>
        </w:rPr>
        <w:t>Chungcheongbuk</w:t>
      </w:r>
      <w:proofErr w:type="spellEnd"/>
      <w:r w:rsidRPr="009E1CCE">
        <w:rPr>
          <w:rFonts w:ascii="Arial" w:hAnsi="Arial" w:cs="Arial"/>
          <w:spacing w:val="-2"/>
          <w:kern w:val="0"/>
          <w:sz w:val="22"/>
          <w:szCs w:val="22"/>
        </w:rPr>
        <w:t>-do (7.4%).</w:t>
      </w:r>
    </w:p>
    <w:p w14:paraId="37FA242A"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Changes in the population and number of households can be easily recognized by comparing them in 1980 and 2020 based on the 2020 administrative districts. Over the 40 years, the population increased by 14.4 million, and the number of households increased by 13.5 million, almost the same population growth. Moreover, the number of households increased even in the areas where the population decreased significantly, such as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Jeollabuk</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-do, and Gangwon-do. </w:t>
      </w:r>
    </w:p>
    <w:p w14:paraId="124A3069"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From 1975 to 2020, the average number of household members continuously decreased in all regions, and the decrease in non-Seoul Metropolitan Areas, such as Chungcheongnam-do, </w:t>
      </w:r>
      <w:proofErr w:type="spellStart"/>
      <w:r w:rsidRPr="009E1CCE">
        <w:rPr>
          <w:rFonts w:ascii="Arial" w:hAnsi="Arial" w:cs="Arial"/>
          <w:spacing w:val="-2"/>
          <w:kern w:val="0"/>
          <w:sz w:val="22"/>
          <w:szCs w:val="22"/>
        </w:rPr>
        <w:t>Chungcheongbuk</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Jeollabuk</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Gyeongsangnam</w:t>
      </w:r>
      <w:proofErr w:type="spellEnd"/>
      <w:r w:rsidRPr="009E1CCE">
        <w:rPr>
          <w:rFonts w:ascii="Arial" w:hAnsi="Arial" w:cs="Arial"/>
          <w:spacing w:val="-2"/>
          <w:kern w:val="0"/>
          <w:sz w:val="22"/>
          <w:szCs w:val="22"/>
        </w:rPr>
        <w:t xml:space="preserve">-do, and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 xml:space="preserve">-do, was significant. On the other hand, the decrease in the average number of household members was 1.99, the smallest in the country in </w:t>
      </w:r>
      <w:proofErr w:type="spellStart"/>
      <w:r w:rsidRPr="009E1CCE">
        <w:rPr>
          <w:rFonts w:ascii="Arial" w:hAnsi="Arial" w:cs="Arial"/>
          <w:spacing w:val="-2"/>
          <w:kern w:val="0"/>
          <w:sz w:val="22"/>
          <w:szCs w:val="22"/>
        </w:rPr>
        <w:t>Jeju</w:t>
      </w:r>
      <w:proofErr w:type="spellEnd"/>
      <w:r w:rsidRPr="009E1CCE">
        <w:rPr>
          <w:rFonts w:ascii="Arial" w:hAnsi="Arial" w:cs="Arial"/>
          <w:spacing w:val="-2"/>
          <w:kern w:val="0"/>
          <w:sz w:val="22"/>
          <w:szCs w:val="22"/>
        </w:rPr>
        <w:t xml:space="preserve"> Special Self-Governing Province. In 1975, Seoul, Busan, Daegu, Incheon, and Gyeonggi-do were the regions with a lower average number of households than the national average and a relatively greater number of nuclear families. The number of household members in the metropolitan areas was smaller than that in non-metropolitan provinces. On the contrary, in 2020, Seoul, Busan, and non-metropolitan provinces, such as Gangwon-do, Chungcheongnam-do, </w:t>
      </w:r>
      <w:proofErr w:type="spellStart"/>
      <w:r w:rsidRPr="009E1CCE">
        <w:rPr>
          <w:rFonts w:ascii="Arial" w:hAnsi="Arial" w:cs="Arial"/>
          <w:spacing w:val="-2"/>
          <w:kern w:val="0"/>
          <w:sz w:val="22"/>
          <w:szCs w:val="22"/>
        </w:rPr>
        <w:t>Chungcheongbuk</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Jeollabuk</w:t>
      </w:r>
      <w:proofErr w:type="spellEnd"/>
      <w:r w:rsidRPr="009E1CCE">
        <w:rPr>
          <w:rFonts w:ascii="Arial" w:hAnsi="Arial" w:cs="Arial"/>
          <w:spacing w:val="-2"/>
          <w:kern w:val="0"/>
          <w:sz w:val="22"/>
          <w:szCs w:val="22"/>
        </w:rPr>
        <w:t xml:space="preserve">-do, and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-do, were the regions with a lower average number of households than the national average. The average number of household members in non-metropolitan provinces is smaller than in metropolitan areas, except in Seoul and Busan. </w:t>
      </w:r>
    </w:p>
    <w:p w14:paraId="432FD4C1"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According to household estimates, the number of households will peak at 22.65 million in 2040 and will decrease thereafter. The proportion of single-person households will increase from 15.5 percent in 2000 to 36.4 percent in 2040. The proportion of two-generation households, which was the largest number in 2020, will decline from 60.8 percent in 2000 to 36.5 percent in 2040. The number of households with three or more generations will also decrease rapidly. In 2040, there will be 13.4 million single-person and one-generation households, accounting for 59.3 percent of the total households, resulting in a sharp decline in intergenerational communication.</w:t>
      </w:r>
    </w:p>
    <w:p w14:paraId="1D01DB30" w14:textId="77777777" w:rsidR="009635EE" w:rsidRPr="009E1CCE" w:rsidRDefault="009635EE" w:rsidP="009E1CCE">
      <w:pPr>
        <w:spacing w:line="276" w:lineRule="auto"/>
        <w:rPr>
          <w:rFonts w:ascii="Arial" w:hAnsi="Arial" w:cs="Arial"/>
          <w:sz w:val="22"/>
          <w:szCs w:val="22"/>
        </w:rPr>
      </w:pPr>
    </w:p>
    <w:p w14:paraId="7EC28C65" w14:textId="77777777" w:rsidR="00C562C9" w:rsidRDefault="00C562C9">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B428991" w14:textId="7B68CE62" w:rsidR="009635EE" w:rsidRPr="009E1CCE" w:rsidRDefault="009635EE" w:rsidP="009E1CCE">
      <w:pPr>
        <w:widowControl/>
        <w:wordWrap/>
        <w:spacing w:line="276" w:lineRule="auto"/>
        <w:rPr>
          <w:rFonts w:ascii="Arial" w:hAnsi="Arial" w:cs="Arial"/>
          <w:kern w:val="0"/>
          <w:sz w:val="22"/>
          <w:szCs w:val="22"/>
        </w:rPr>
      </w:pPr>
      <w:r w:rsidRPr="009E1CCE">
        <w:rPr>
          <w:rFonts w:ascii="Arial" w:hAnsi="Arial" w:cs="Arial"/>
          <w:b/>
          <w:bCs/>
          <w:spacing w:val="-5"/>
          <w:kern w:val="0"/>
          <w:sz w:val="22"/>
          <w:szCs w:val="22"/>
        </w:rPr>
        <w:lastRenderedPageBreak/>
        <w:t>Household Types and Foreign Households </w:t>
      </w:r>
    </w:p>
    <w:p w14:paraId="72A4644D" w14:textId="0890F635" w:rsidR="009635EE" w:rsidRPr="002D518A" w:rsidRDefault="009635EE" w:rsidP="009E1CCE">
      <w:pPr>
        <w:spacing w:line="276" w:lineRule="auto"/>
        <w:rPr>
          <w:rFonts w:ascii="Arial" w:hAnsi="Arial" w:cs="Arial"/>
          <w:sz w:val="22"/>
          <w:szCs w:val="22"/>
        </w:rPr>
      </w:pPr>
    </w:p>
    <w:p w14:paraId="0AADC150" w14:textId="4DEA2B71" w:rsidR="002D518A" w:rsidRPr="002D518A" w:rsidRDefault="002D518A" w:rsidP="002D518A">
      <w:pPr>
        <w:pStyle w:val="Default"/>
        <w:rPr>
          <w:rFonts w:ascii="Arial" w:hAnsi="Arial" w:cs="Arial"/>
          <w:sz w:val="22"/>
          <w:szCs w:val="22"/>
        </w:rPr>
      </w:pPr>
      <w:r w:rsidRPr="002D518A">
        <w:rPr>
          <w:rFonts w:ascii="Arial" w:hAnsi="Arial" w:cs="Arial"/>
          <w:sz w:val="22"/>
          <w:szCs w:val="22"/>
        </w:rPr>
        <w:t xml:space="preserve">&lt;map&gt; </w:t>
      </w:r>
      <w:r w:rsidRPr="002D518A">
        <w:rPr>
          <w:rStyle w:val="A40"/>
          <w:rFonts w:ascii="Arial" w:hAnsi="Arial" w:cs="Arial"/>
          <w:sz w:val="22"/>
          <w:szCs w:val="22"/>
        </w:rPr>
        <w:t>General Households (2020)</w:t>
      </w:r>
    </w:p>
    <w:p w14:paraId="46DDD734" w14:textId="55BC6F60" w:rsidR="002D518A" w:rsidRPr="002D518A" w:rsidRDefault="002D518A" w:rsidP="002D518A">
      <w:pPr>
        <w:spacing w:line="276" w:lineRule="auto"/>
        <w:rPr>
          <w:rFonts w:ascii="Arial" w:hAnsi="Arial" w:cs="Arial"/>
          <w:sz w:val="22"/>
          <w:szCs w:val="22"/>
        </w:rPr>
      </w:pPr>
      <w:r w:rsidRPr="002D518A">
        <w:rPr>
          <w:rFonts w:ascii="Arial" w:hAnsi="Arial" w:cs="Arial"/>
          <w:sz w:val="22"/>
          <w:szCs w:val="22"/>
        </w:rPr>
        <w:t xml:space="preserve">&lt;table&gt; </w:t>
      </w:r>
      <w:r w:rsidRPr="002D518A">
        <w:rPr>
          <w:rStyle w:val="A30"/>
          <w:rFonts w:ascii="Arial" w:hAnsi="Arial" w:cs="Arial"/>
          <w:sz w:val="22"/>
          <w:szCs w:val="22"/>
        </w:rPr>
        <w:t>Household by Regions (2010, 2020)</w:t>
      </w:r>
    </w:p>
    <w:p w14:paraId="4795C81F" w14:textId="7326CFD6" w:rsidR="002D518A" w:rsidRPr="002D518A" w:rsidRDefault="002D518A" w:rsidP="002D518A">
      <w:pPr>
        <w:pStyle w:val="Default"/>
        <w:rPr>
          <w:rFonts w:ascii="Arial" w:hAnsi="Arial" w:cs="Arial"/>
          <w:sz w:val="22"/>
          <w:szCs w:val="22"/>
        </w:rPr>
      </w:pPr>
      <w:r w:rsidRPr="002D518A">
        <w:rPr>
          <w:rFonts w:ascii="Arial" w:hAnsi="Arial" w:cs="Arial"/>
          <w:sz w:val="22"/>
          <w:szCs w:val="22"/>
        </w:rPr>
        <w:t>&lt;</w:t>
      </w:r>
      <w:r w:rsidRPr="002D518A">
        <w:rPr>
          <w:rFonts w:ascii="Arial" w:hAnsi="Arial" w:cs="Arial"/>
          <w:sz w:val="22"/>
          <w:szCs w:val="22"/>
        </w:rPr>
        <w:t>map</w:t>
      </w:r>
      <w:r w:rsidRPr="002D518A">
        <w:rPr>
          <w:rFonts w:ascii="Arial" w:hAnsi="Arial" w:cs="Arial"/>
          <w:sz w:val="22"/>
          <w:szCs w:val="22"/>
        </w:rPr>
        <w:t xml:space="preserve">&gt; </w:t>
      </w:r>
      <w:r w:rsidRPr="002D518A">
        <w:rPr>
          <w:rStyle w:val="A12"/>
          <w:rFonts w:ascii="Arial" w:hAnsi="Arial" w:cs="Arial"/>
          <w:sz w:val="22"/>
          <w:szCs w:val="22"/>
        </w:rPr>
        <w:t xml:space="preserve">Foreign Households </w:t>
      </w:r>
      <w:r w:rsidRPr="002D518A">
        <w:rPr>
          <w:rStyle w:val="A40"/>
          <w:rFonts w:ascii="Arial" w:hAnsi="Arial" w:cs="Arial"/>
          <w:sz w:val="22"/>
          <w:szCs w:val="22"/>
        </w:rPr>
        <w:t>(</w:t>
      </w:r>
      <w:r w:rsidRPr="002D518A">
        <w:rPr>
          <w:rStyle w:val="A12"/>
          <w:rFonts w:ascii="Arial" w:hAnsi="Arial" w:cs="Arial"/>
          <w:sz w:val="22"/>
          <w:szCs w:val="22"/>
        </w:rPr>
        <w:t>2010</w:t>
      </w:r>
      <w:r w:rsidRPr="002D518A">
        <w:rPr>
          <w:rStyle w:val="A40"/>
          <w:rFonts w:ascii="Arial" w:hAnsi="Arial" w:cs="Arial"/>
          <w:sz w:val="22"/>
          <w:szCs w:val="22"/>
        </w:rPr>
        <w:t>)</w:t>
      </w:r>
    </w:p>
    <w:p w14:paraId="582B2C1F" w14:textId="0AB431B9" w:rsidR="002D518A" w:rsidRPr="002D518A" w:rsidRDefault="002D518A" w:rsidP="002D518A">
      <w:pPr>
        <w:spacing w:line="276" w:lineRule="auto"/>
        <w:rPr>
          <w:rFonts w:ascii="Arial" w:hAnsi="Arial" w:cs="Arial"/>
          <w:sz w:val="22"/>
          <w:szCs w:val="22"/>
        </w:rPr>
      </w:pPr>
      <w:r w:rsidRPr="002D518A">
        <w:rPr>
          <w:rFonts w:ascii="Arial" w:hAnsi="Arial" w:cs="Arial"/>
          <w:sz w:val="22"/>
          <w:szCs w:val="22"/>
        </w:rPr>
        <w:t>&lt;</w:t>
      </w:r>
      <w:r w:rsidRPr="002D518A">
        <w:rPr>
          <w:rFonts w:ascii="Arial" w:hAnsi="Arial" w:cs="Arial"/>
          <w:sz w:val="22"/>
          <w:szCs w:val="22"/>
        </w:rPr>
        <w:t>map</w:t>
      </w:r>
      <w:r w:rsidRPr="002D518A">
        <w:rPr>
          <w:rFonts w:ascii="Arial" w:hAnsi="Arial" w:cs="Arial"/>
          <w:sz w:val="22"/>
          <w:szCs w:val="22"/>
        </w:rPr>
        <w:t xml:space="preserve">&gt; </w:t>
      </w:r>
      <w:r w:rsidRPr="002D518A">
        <w:rPr>
          <w:rStyle w:val="A12"/>
          <w:rFonts w:ascii="Arial" w:hAnsi="Arial" w:cs="Arial"/>
          <w:sz w:val="22"/>
          <w:szCs w:val="22"/>
        </w:rPr>
        <w:t xml:space="preserve">Foreign Households </w:t>
      </w:r>
      <w:r w:rsidRPr="002D518A">
        <w:rPr>
          <w:rStyle w:val="A40"/>
          <w:rFonts w:ascii="Arial" w:hAnsi="Arial" w:cs="Arial"/>
          <w:sz w:val="22"/>
          <w:szCs w:val="22"/>
        </w:rPr>
        <w:t>(</w:t>
      </w:r>
      <w:r w:rsidRPr="002D518A">
        <w:rPr>
          <w:rStyle w:val="A12"/>
          <w:rFonts w:ascii="Arial" w:hAnsi="Arial" w:cs="Arial"/>
          <w:sz w:val="22"/>
          <w:szCs w:val="22"/>
        </w:rPr>
        <w:t>20</w:t>
      </w:r>
      <w:r w:rsidRPr="002D518A">
        <w:rPr>
          <w:rStyle w:val="A12"/>
          <w:rFonts w:ascii="Arial" w:hAnsi="Arial" w:cs="Arial"/>
          <w:sz w:val="22"/>
          <w:szCs w:val="22"/>
        </w:rPr>
        <w:t>2</w:t>
      </w:r>
      <w:r w:rsidRPr="002D518A">
        <w:rPr>
          <w:rStyle w:val="A12"/>
          <w:rFonts w:ascii="Arial" w:hAnsi="Arial" w:cs="Arial"/>
          <w:sz w:val="22"/>
          <w:szCs w:val="22"/>
        </w:rPr>
        <w:t>0</w:t>
      </w:r>
      <w:r w:rsidRPr="002D518A">
        <w:rPr>
          <w:rStyle w:val="A40"/>
          <w:rFonts w:ascii="Arial" w:hAnsi="Arial" w:cs="Arial"/>
          <w:sz w:val="22"/>
          <w:szCs w:val="22"/>
        </w:rPr>
        <w:t xml:space="preserve">) </w:t>
      </w:r>
    </w:p>
    <w:p w14:paraId="3C41F7F1" w14:textId="49D1A43A" w:rsidR="00C562C9" w:rsidRPr="002D518A" w:rsidRDefault="00C562C9" w:rsidP="009E1CCE">
      <w:pPr>
        <w:spacing w:line="276" w:lineRule="auto"/>
        <w:rPr>
          <w:rFonts w:ascii="Arial" w:hAnsi="Arial" w:cs="Arial"/>
          <w:sz w:val="22"/>
          <w:szCs w:val="22"/>
        </w:rPr>
      </w:pPr>
    </w:p>
    <w:p w14:paraId="27A8DC14"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Households are divided into general households, collective households, and foreign households. Most households are general households. Collective households, consisting of six or more people who are not relatives living together, include dormitories, nurseries, and nursing homes. Foreign households consist only of foreigners. Due to the large increase in foreign households, the proportion of general households decreased from 98.7 percent in 2010 to 97.4 percent in 2020. In 2020, </w:t>
      </w:r>
      <w:proofErr w:type="spellStart"/>
      <w:r w:rsidRPr="009E1CCE">
        <w:rPr>
          <w:rFonts w:ascii="Arial" w:hAnsi="Arial" w:cs="Arial"/>
          <w:spacing w:val="-2"/>
          <w:kern w:val="0"/>
          <w:sz w:val="22"/>
          <w:szCs w:val="22"/>
        </w:rPr>
        <w:t>Ansan-si</w:t>
      </w:r>
      <w:proofErr w:type="spellEnd"/>
      <w:r w:rsidRPr="009E1CCE">
        <w:rPr>
          <w:rFonts w:ascii="Arial" w:hAnsi="Arial" w:cs="Arial"/>
          <w:spacing w:val="-2"/>
          <w:kern w:val="0"/>
          <w:sz w:val="22"/>
          <w:szCs w:val="22"/>
        </w:rPr>
        <w:t xml:space="preserve"> in Gyeonggi-do (89.5%), </w:t>
      </w:r>
      <w:proofErr w:type="spellStart"/>
      <w:r w:rsidRPr="009E1CCE">
        <w:rPr>
          <w:rFonts w:ascii="Arial" w:hAnsi="Arial" w:cs="Arial"/>
          <w:spacing w:val="-2"/>
          <w:kern w:val="0"/>
          <w:sz w:val="22"/>
          <w:szCs w:val="22"/>
        </w:rPr>
        <w:t>Siheung-si</w:t>
      </w:r>
      <w:proofErr w:type="spellEnd"/>
      <w:r w:rsidRPr="009E1CCE">
        <w:rPr>
          <w:rFonts w:ascii="Arial" w:hAnsi="Arial" w:cs="Arial"/>
          <w:spacing w:val="-2"/>
          <w:kern w:val="0"/>
          <w:sz w:val="22"/>
          <w:szCs w:val="22"/>
        </w:rPr>
        <w:t xml:space="preserve"> in Gyeonggi-do (89.7%), and </w:t>
      </w:r>
      <w:proofErr w:type="spellStart"/>
      <w:r w:rsidRPr="009E1CCE">
        <w:rPr>
          <w:rFonts w:ascii="Arial" w:hAnsi="Arial" w:cs="Arial"/>
          <w:spacing w:val="-2"/>
          <w:kern w:val="0"/>
          <w:sz w:val="22"/>
          <w:szCs w:val="22"/>
        </w:rPr>
        <w:t>Guro-gu</w:t>
      </w:r>
      <w:proofErr w:type="spellEnd"/>
      <w:r w:rsidRPr="009E1CCE">
        <w:rPr>
          <w:rFonts w:ascii="Arial" w:hAnsi="Arial" w:cs="Arial"/>
          <w:spacing w:val="-2"/>
          <w:kern w:val="0"/>
          <w:sz w:val="22"/>
          <w:szCs w:val="22"/>
        </w:rPr>
        <w:t xml:space="preserve"> in Seoul (89.8%) had the lowest ratio of general households at the -</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/-gun/-</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area levels. In addition, the ratio of general households is low in the Seoul Metropolitan Area and the industrial regions of other provinces, where many foreigners reside. There are about 16,000 collective households across the nation, accounting for a very low proportion of total households. However, they are highly concentrated in </w:t>
      </w:r>
      <w:proofErr w:type="spellStart"/>
      <w:r w:rsidRPr="009E1CCE">
        <w:rPr>
          <w:rFonts w:ascii="Arial" w:hAnsi="Arial" w:cs="Arial"/>
          <w:spacing w:val="-2"/>
          <w:kern w:val="0"/>
          <w:sz w:val="22"/>
          <w:szCs w:val="22"/>
        </w:rPr>
        <w:t>Geumsan</w:t>
      </w:r>
      <w:proofErr w:type="spellEnd"/>
      <w:r w:rsidRPr="009E1CCE">
        <w:rPr>
          <w:rFonts w:ascii="Arial" w:hAnsi="Arial" w:cs="Arial"/>
          <w:spacing w:val="-2"/>
          <w:kern w:val="0"/>
          <w:sz w:val="22"/>
          <w:szCs w:val="22"/>
        </w:rPr>
        <w:t xml:space="preserve">-gun, Chungcheongnam-do, </w:t>
      </w:r>
      <w:proofErr w:type="spellStart"/>
      <w:r w:rsidRPr="009E1CCE">
        <w:rPr>
          <w:rFonts w:ascii="Arial" w:hAnsi="Arial" w:cs="Arial"/>
          <w:spacing w:val="-2"/>
          <w:kern w:val="0"/>
          <w:sz w:val="22"/>
          <w:szCs w:val="22"/>
        </w:rPr>
        <w:t>Eumseong</w:t>
      </w:r>
      <w:proofErr w:type="spellEnd"/>
      <w:r w:rsidRPr="009E1CCE">
        <w:rPr>
          <w:rFonts w:ascii="Arial" w:hAnsi="Arial" w:cs="Arial"/>
          <w:spacing w:val="-2"/>
          <w:kern w:val="0"/>
          <w:sz w:val="22"/>
          <w:szCs w:val="22"/>
        </w:rPr>
        <w:t xml:space="preserve">-gun, </w:t>
      </w:r>
      <w:proofErr w:type="spellStart"/>
      <w:r w:rsidRPr="009E1CCE">
        <w:rPr>
          <w:rFonts w:ascii="Arial" w:hAnsi="Arial" w:cs="Arial"/>
          <w:spacing w:val="-2"/>
          <w:kern w:val="0"/>
          <w:sz w:val="22"/>
          <w:szCs w:val="22"/>
        </w:rPr>
        <w:t>Chungcheongbuk</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Yeongdong</w:t>
      </w:r>
      <w:proofErr w:type="spellEnd"/>
      <w:r w:rsidRPr="009E1CCE">
        <w:rPr>
          <w:rFonts w:ascii="Arial" w:hAnsi="Arial" w:cs="Arial"/>
          <w:spacing w:val="-2"/>
          <w:kern w:val="0"/>
          <w:sz w:val="22"/>
          <w:szCs w:val="22"/>
        </w:rPr>
        <w:t xml:space="preserve">-gun, </w:t>
      </w:r>
      <w:proofErr w:type="spellStart"/>
      <w:r w:rsidRPr="009E1CCE">
        <w:rPr>
          <w:rFonts w:ascii="Arial" w:hAnsi="Arial" w:cs="Arial"/>
          <w:spacing w:val="-2"/>
          <w:kern w:val="0"/>
          <w:sz w:val="22"/>
          <w:szCs w:val="22"/>
        </w:rPr>
        <w:t>Chungcheongbuk</w:t>
      </w:r>
      <w:proofErr w:type="spellEnd"/>
      <w:r w:rsidRPr="009E1CCE">
        <w:rPr>
          <w:rFonts w:ascii="Arial" w:hAnsi="Arial" w:cs="Arial"/>
          <w:spacing w:val="-2"/>
          <w:kern w:val="0"/>
          <w:sz w:val="22"/>
          <w:szCs w:val="22"/>
        </w:rPr>
        <w:t xml:space="preserve">-do, and </w:t>
      </w:r>
      <w:proofErr w:type="spellStart"/>
      <w:r w:rsidRPr="009E1CCE">
        <w:rPr>
          <w:rFonts w:ascii="Arial" w:hAnsi="Arial" w:cs="Arial"/>
          <w:spacing w:val="-2"/>
          <w:kern w:val="0"/>
          <w:sz w:val="22"/>
          <w:szCs w:val="22"/>
        </w:rPr>
        <w:t>Hampyeong</w:t>
      </w:r>
      <w:proofErr w:type="spellEnd"/>
      <w:r w:rsidRPr="009E1CCE">
        <w:rPr>
          <w:rFonts w:ascii="Arial" w:hAnsi="Arial" w:cs="Arial"/>
          <w:spacing w:val="-2"/>
          <w:kern w:val="0"/>
          <w:sz w:val="22"/>
          <w:szCs w:val="22"/>
        </w:rPr>
        <w:t xml:space="preserve">-gun,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-do.</w:t>
      </w:r>
    </w:p>
    <w:p w14:paraId="140FB9B8"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Foreign households have been increasing rapidly since the 2000s due to the influx of foreign workers and the change in overseas Korean policies. The number of foreign households increased 2.5 times, from 210,000 households (1.22%) in 2010 to 540,000 households (2.52%) in 2020. The number of -</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/-gun/-</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areas with the ratio of foreign households exceeding 2 percent increased from 23 in 2010 to 75 in 2020. The proportion of foreign households exceeds 10 percent in </w:t>
      </w:r>
      <w:proofErr w:type="spellStart"/>
      <w:r w:rsidRPr="009E1CCE">
        <w:rPr>
          <w:rFonts w:ascii="Arial" w:hAnsi="Arial" w:cs="Arial"/>
          <w:spacing w:val="-2"/>
          <w:kern w:val="0"/>
          <w:sz w:val="22"/>
          <w:szCs w:val="22"/>
        </w:rPr>
        <w:t>Ansan-si</w:t>
      </w:r>
      <w:proofErr w:type="spellEnd"/>
      <w:r w:rsidRPr="009E1CCE">
        <w:rPr>
          <w:rFonts w:ascii="Arial" w:hAnsi="Arial" w:cs="Arial"/>
          <w:spacing w:val="-2"/>
          <w:kern w:val="0"/>
          <w:sz w:val="22"/>
          <w:szCs w:val="22"/>
        </w:rPr>
        <w:t xml:space="preserve"> in Gyeonggi-do, </w:t>
      </w:r>
      <w:proofErr w:type="spellStart"/>
      <w:r w:rsidRPr="009E1CCE">
        <w:rPr>
          <w:rFonts w:ascii="Arial" w:hAnsi="Arial" w:cs="Arial"/>
          <w:spacing w:val="-2"/>
          <w:kern w:val="0"/>
          <w:sz w:val="22"/>
          <w:szCs w:val="22"/>
        </w:rPr>
        <w:t>Siheung-si</w:t>
      </w:r>
      <w:proofErr w:type="spellEnd"/>
      <w:r w:rsidRPr="009E1CCE">
        <w:rPr>
          <w:rFonts w:ascii="Arial" w:hAnsi="Arial" w:cs="Arial"/>
          <w:spacing w:val="-2"/>
          <w:kern w:val="0"/>
          <w:sz w:val="22"/>
          <w:szCs w:val="22"/>
        </w:rPr>
        <w:t xml:space="preserve"> in Gyeonggi-do, and </w:t>
      </w:r>
      <w:proofErr w:type="spellStart"/>
      <w:r w:rsidRPr="009E1CCE">
        <w:rPr>
          <w:rFonts w:ascii="Arial" w:hAnsi="Arial" w:cs="Arial"/>
          <w:spacing w:val="-2"/>
          <w:kern w:val="0"/>
          <w:sz w:val="22"/>
          <w:szCs w:val="22"/>
        </w:rPr>
        <w:t>Guro-gu</w:t>
      </w:r>
      <w:proofErr w:type="spellEnd"/>
      <w:r w:rsidRPr="009E1CCE">
        <w:rPr>
          <w:rFonts w:ascii="Arial" w:hAnsi="Arial" w:cs="Arial"/>
          <w:spacing w:val="-2"/>
          <w:kern w:val="0"/>
          <w:sz w:val="22"/>
          <w:szCs w:val="22"/>
        </w:rPr>
        <w:t xml:space="preserve"> in Seoul. The proportion of foreign households is also high in the southwestern part of the Seoul Metropolitan Area, in the Chungcheong region adjacent to the Seoul Metropolitan Area, and in industrial areas in the provinces, such as </w:t>
      </w:r>
      <w:proofErr w:type="spellStart"/>
      <w:r w:rsidRPr="009E1CCE">
        <w:rPr>
          <w:rFonts w:ascii="Arial" w:hAnsi="Arial" w:cs="Arial"/>
          <w:spacing w:val="-2"/>
          <w:kern w:val="0"/>
          <w:sz w:val="22"/>
          <w:szCs w:val="22"/>
        </w:rPr>
        <w:t>Yeongam</w:t>
      </w:r>
      <w:proofErr w:type="spellEnd"/>
      <w:r w:rsidRPr="009E1CCE">
        <w:rPr>
          <w:rFonts w:ascii="Arial" w:hAnsi="Arial" w:cs="Arial"/>
          <w:spacing w:val="-2"/>
          <w:kern w:val="0"/>
          <w:sz w:val="22"/>
          <w:szCs w:val="22"/>
        </w:rPr>
        <w:t xml:space="preserve">-gun in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-do. The proportion of foreign households reached 2.54 percent in 2019 before the net outflow of foreigners occurred due to the COVID-19 pandemic.</w:t>
      </w:r>
    </w:p>
    <w:p w14:paraId="3A548223" w14:textId="77777777" w:rsidR="009635EE" w:rsidRPr="009E1CCE" w:rsidRDefault="009635EE" w:rsidP="009E1CCE">
      <w:pPr>
        <w:spacing w:line="276" w:lineRule="auto"/>
        <w:rPr>
          <w:rFonts w:ascii="Arial" w:hAnsi="Arial" w:cs="Arial"/>
          <w:sz w:val="22"/>
          <w:szCs w:val="22"/>
        </w:rPr>
      </w:pPr>
    </w:p>
    <w:p w14:paraId="7FCC02B2" w14:textId="77777777" w:rsidR="002D518A" w:rsidRDefault="002D518A">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7115EB1" w14:textId="7910424A" w:rsidR="009635EE" w:rsidRPr="009E1CCE" w:rsidRDefault="009635EE" w:rsidP="009E1CCE">
      <w:pPr>
        <w:widowControl/>
        <w:wordWrap/>
        <w:spacing w:line="276" w:lineRule="auto"/>
        <w:rPr>
          <w:rFonts w:ascii="Arial" w:hAnsi="Arial" w:cs="Arial"/>
          <w:kern w:val="0"/>
          <w:sz w:val="22"/>
          <w:szCs w:val="22"/>
        </w:rPr>
      </w:pPr>
      <w:r w:rsidRPr="009E1CCE">
        <w:rPr>
          <w:rFonts w:ascii="Arial" w:hAnsi="Arial" w:cs="Arial"/>
          <w:b/>
          <w:bCs/>
          <w:spacing w:val="-5"/>
          <w:kern w:val="0"/>
          <w:sz w:val="22"/>
          <w:szCs w:val="22"/>
        </w:rPr>
        <w:lastRenderedPageBreak/>
        <w:t>Housing Types </w:t>
      </w:r>
    </w:p>
    <w:p w14:paraId="506A8E4E" w14:textId="50906392" w:rsidR="009635EE" w:rsidRPr="002D518A" w:rsidRDefault="009635EE" w:rsidP="009E1CCE">
      <w:pPr>
        <w:spacing w:line="276" w:lineRule="auto"/>
        <w:rPr>
          <w:rFonts w:ascii="Arial" w:hAnsi="Arial" w:cs="Arial"/>
          <w:sz w:val="22"/>
          <w:szCs w:val="22"/>
        </w:rPr>
      </w:pPr>
    </w:p>
    <w:p w14:paraId="4E48AA16" w14:textId="17A19746" w:rsidR="002D518A" w:rsidRPr="002D518A" w:rsidRDefault="002D518A" w:rsidP="009E1CCE">
      <w:pPr>
        <w:spacing w:line="276" w:lineRule="auto"/>
        <w:rPr>
          <w:rFonts w:ascii="Arial" w:hAnsi="Arial" w:cs="Arial"/>
          <w:sz w:val="22"/>
          <w:szCs w:val="22"/>
        </w:rPr>
      </w:pPr>
      <w:r w:rsidRPr="002D518A">
        <w:rPr>
          <w:rFonts w:ascii="Arial" w:hAnsi="Arial" w:cs="Arial"/>
          <w:sz w:val="22"/>
          <w:szCs w:val="22"/>
        </w:rPr>
        <w:t xml:space="preserve">&lt;map&gt; </w:t>
      </w:r>
      <w:r w:rsidRPr="002D518A">
        <w:rPr>
          <w:rFonts w:ascii="Arial" w:hAnsi="Arial" w:cs="Arial"/>
          <w:sz w:val="22"/>
          <w:szCs w:val="22"/>
        </w:rPr>
        <w:t>Housing Types (2020)</w:t>
      </w:r>
    </w:p>
    <w:p w14:paraId="477F4EE8" w14:textId="6A696EAC" w:rsidR="002D518A" w:rsidRPr="002D518A" w:rsidRDefault="002D518A" w:rsidP="009E1CCE">
      <w:pPr>
        <w:spacing w:line="276" w:lineRule="auto"/>
        <w:rPr>
          <w:rFonts w:ascii="Arial" w:hAnsi="Arial" w:cs="Arial"/>
          <w:sz w:val="22"/>
          <w:szCs w:val="22"/>
        </w:rPr>
      </w:pPr>
      <w:r w:rsidRPr="002D518A">
        <w:rPr>
          <w:rFonts w:ascii="Arial" w:hAnsi="Arial" w:cs="Arial"/>
          <w:sz w:val="22"/>
          <w:szCs w:val="22"/>
        </w:rPr>
        <w:t xml:space="preserve">&lt;graph&gt; </w:t>
      </w:r>
      <w:r w:rsidRPr="002D518A">
        <w:rPr>
          <w:rStyle w:val="A30"/>
          <w:rFonts w:ascii="Arial" w:hAnsi="Arial" w:cs="Arial"/>
          <w:sz w:val="22"/>
          <w:szCs w:val="22"/>
        </w:rPr>
        <w:t>Changes in Housing Types</w:t>
      </w:r>
    </w:p>
    <w:p w14:paraId="4D588B30" w14:textId="1BE6FEDE" w:rsidR="002D518A" w:rsidRPr="002D518A" w:rsidRDefault="002D518A" w:rsidP="002D518A">
      <w:pPr>
        <w:spacing w:line="276" w:lineRule="auto"/>
        <w:rPr>
          <w:rFonts w:ascii="Arial" w:hAnsi="Arial" w:cs="Arial"/>
          <w:sz w:val="22"/>
          <w:szCs w:val="22"/>
        </w:rPr>
      </w:pPr>
      <w:r w:rsidRPr="002D518A">
        <w:rPr>
          <w:rFonts w:ascii="Arial" w:hAnsi="Arial" w:cs="Arial"/>
          <w:sz w:val="22"/>
          <w:szCs w:val="22"/>
        </w:rPr>
        <w:t xml:space="preserve">&lt;graph&gt; </w:t>
      </w:r>
      <w:r w:rsidRPr="002D518A">
        <w:rPr>
          <w:rStyle w:val="A30"/>
          <w:rFonts w:ascii="Arial" w:hAnsi="Arial" w:cs="Arial"/>
          <w:sz w:val="22"/>
          <w:szCs w:val="22"/>
        </w:rPr>
        <w:t>Gross Floor Area by Housing Type (2020)</w:t>
      </w:r>
    </w:p>
    <w:p w14:paraId="326FA3EB" w14:textId="2196B6F5" w:rsidR="002D518A" w:rsidRPr="002D518A" w:rsidRDefault="002D518A" w:rsidP="002D518A">
      <w:pPr>
        <w:spacing w:line="276" w:lineRule="auto"/>
        <w:rPr>
          <w:rFonts w:ascii="Arial" w:hAnsi="Arial" w:cs="Arial"/>
          <w:sz w:val="22"/>
          <w:szCs w:val="22"/>
        </w:rPr>
      </w:pPr>
      <w:r w:rsidRPr="002D518A">
        <w:rPr>
          <w:rFonts w:ascii="Arial" w:hAnsi="Arial" w:cs="Arial"/>
          <w:sz w:val="22"/>
          <w:szCs w:val="22"/>
        </w:rPr>
        <w:t>&lt;graph&gt; Floor Area by Housing Types (2020)</w:t>
      </w:r>
    </w:p>
    <w:p w14:paraId="5C879003" w14:textId="14EF058A" w:rsidR="002D518A" w:rsidRPr="002D518A" w:rsidRDefault="002D518A" w:rsidP="009E1CCE">
      <w:pPr>
        <w:spacing w:line="276" w:lineRule="auto"/>
        <w:rPr>
          <w:rFonts w:ascii="Arial" w:hAnsi="Arial" w:cs="Arial"/>
          <w:sz w:val="22"/>
          <w:szCs w:val="22"/>
        </w:rPr>
      </w:pPr>
      <w:r w:rsidRPr="002D518A">
        <w:rPr>
          <w:rFonts w:ascii="Arial" w:hAnsi="Arial" w:cs="Arial"/>
          <w:sz w:val="22"/>
          <w:szCs w:val="22"/>
        </w:rPr>
        <w:t xml:space="preserve">&lt;map&gt; </w:t>
      </w:r>
      <w:r w:rsidRPr="002D518A">
        <w:rPr>
          <w:rFonts w:ascii="Arial" w:hAnsi="Arial" w:cs="Arial"/>
          <w:sz w:val="22"/>
          <w:szCs w:val="22"/>
        </w:rPr>
        <w:t xml:space="preserve">Housing Tenure </w:t>
      </w:r>
      <w:proofErr w:type="gramStart"/>
      <w:r w:rsidRPr="002D518A">
        <w:rPr>
          <w:rFonts w:ascii="Arial" w:hAnsi="Arial" w:cs="Arial"/>
          <w:sz w:val="22"/>
          <w:szCs w:val="22"/>
        </w:rPr>
        <w:t>Type(</w:t>
      </w:r>
      <w:proofErr w:type="gramEnd"/>
      <w:r w:rsidRPr="002D518A">
        <w:rPr>
          <w:rFonts w:ascii="Arial" w:hAnsi="Arial" w:cs="Arial"/>
          <w:sz w:val="22"/>
          <w:szCs w:val="22"/>
        </w:rPr>
        <w:t>2020)</w:t>
      </w:r>
    </w:p>
    <w:p w14:paraId="16ED0707" w14:textId="77777777" w:rsidR="002D518A" w:rsidRPr="009E1CCE" w:rsidRDefault="002D518A" w:rsidP="009E1CCE">
      <w:pPr>
        <w:spacing w:line="276" w:lineRule="auto"/>
        <w:rPr>
          <w:rFonts w:ascii="Arial" w:hAnsi="Arial" w:cs="Arial" w:hint="eastAsia"/>
          <w:sz w:val="22"/>
          <w:szCs w:val="22"/>
        </w:rPr>
      </w:pPr>
    </w:p>
    <w:p w14:paraId="22E236A8"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Housing is largely divided into detached houses, multi-unit dwelling houses (apartments, row houses, apartment units in a private house), houses in non-residential buildings such as shopping malls or factories, and residences other than housing, such as studio apartments and dormitories. The occupancy rate of multi-unit dwellings houses is steadily rising, while the occupancy rate of detached houses is steadily declining. </w:t>
      </w:r>
    </w:p>
    <w:p w14:paraId="5B578938"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Among provinces,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-do, which recorded 52 percent of the households living in detached houses, is the only region where the occupancy rate of detached houses exceeds 50 percent. On the contrary, Sejong recorded 75 percent of the occupancy rate of apartments. Seoul does not have a high occupancy rate of apartments compared to other regions. However, in Seoul, the occupancy rate of row houses and apartment units in private houses is the highest in the nation, and the proportion of households living in residences other than housing is also high, indicating that the proportion of households living in housing other than apartments is high. In 2020, the top five -</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/-gun/-</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areas with the highest proportion of households living in apartment dwellers were </w:t>
      </w:r>
      <w:proofErr w:type="spellStart"/>
      <w:r w:rsidRPr="009E1CCE">
        <w:rPr>
          <w:rFonts w:ascii="Arial" w:hAnsi="Arial" w:cs="Arial"/>
          <w:spacing w:val="-2"/>
          <w:kern w:val="0"/>
          <w:sz w:val="22"/>
          <w:szCs w:val="22"/>
        </w:rPr>
        <w:t>Gyeryong-si</w:t>
      </w:r>
      <w:proofErr w:type="spellEnd"/>
      <w:r w:rsidRPr="009E1CCE">
        <w:rPr>
          <w:rFonts w:ascii="Arial" w:hAnsi="Arial" w:cs="Arial"/>
          <w:spacing w:val="-2"/>
          <w:kern w:val="0"/>
          <w:sz w:val="22"/>
          <w:szCs w:val="22"/>
        </w:rPr>
        <w:t xml:space="preserve"> (82%) in Chungcheongnam-do, </w:t>
      </w:r>
      <w:proofErr w:type="spellStart"/>
      <w:r w:rsidRPr="009E1CCE">
        <w:rPr>
          <w:rFonts w:ascii="Arial" w:hAnsi="Arial" w:cs="Arial"/>
          <w:spacing w:val="-2"/>
          <w:kern w:val="0"/>
          <w:sz w:val="22"/>
          <w:szCs w:val="22"/>
        </w:rPr>
        <w:t>Nowon-gu</w:t>
      </w:r>
      <w:proofErr w:type="spellEnd"/>
      <w:r w:rsidRPr="009E1CCE">
        <w:rPr>
          <w:rFonts w:ascii="Arial" w:hAnsi="Arial" w:cs="Arial"/>
          <w:spacing w:val="-2"/>
          <w:kern w:val="0"/>
          <w:sz w:val="22"/>
          <w:szCs w:val="22"/>
        </w:rPr>
        <w:t xml:space="preserve"> (78%) in Seoul, Buk-</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(78%) in Ulsan, </w:t>
      </w:r>
      <w:proofErr w:type="spellStart"/>
      <w:r w:rsidRPr="009E1CCE">
        <w:rPr>
          <w:rFonts w:ascii="Arial" w:hAnsi="Arial" w:cs="Arial"/>
          <w:spacing w:val="-2"/>
          <w:kern w:val="0"/>
          <w:sz w:val="22"/>
          <w:szCs w:val="22"/>
        </w:rPr>
        <w:t>Yeonsu-gu</w:t>
      </w:r>
      <w:proofErr w:type="spellEnd"/>
      <w:r w:rsidRPr="009E1CCE">
        <w:rPr>
          <w:rFonts w:ascii="Arial" w:hAnsi="Arial" w:cs="Arial"/>
          <w:spacing w:val="-2"/>
          <w:kern w:val="0"/>
          <w:sz w:val="22"/>
          <w:szCs w:val="22"/>
        </w:rPr>
        <w:t xml:space="preserve"> (77%) in Incheon, and Sejong (75%). Of the 229 </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/-gun/-</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areas, 87 had greater than 50 percent of the occupancy rate of apartments. On the other hand, the occupancy rate of apartments was low in rural and island areas such as Sinan-gun (0.1%) in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Ongjin</w:t>
      </w:r>
      <w:proofErr w:type="spellEnd"/>
      <w:r w:rsidRPr="009E1CCE">
        <w:rPr>
          <w:rFonts w:ascii="Arial" w:hAnsi="Arial" w:cs="Arial"/>
          <w:spacing w:val="-2"/>
          <w:kern w:val="0"/>
          <w:sz w:val="22"/>
          <w:szCs w:val="22"/>
        </w:rPr>
        <w:t xml:space="preserve">-gun (3%) in Incheon, </w:t>
      </w:r>
      <w:proofErr w:type="spellStart"/>
      <w:r w:rsidRPr="009E1CCE">
        <w:rPr>
          <w:rFonts w:ascii="Arial" w:hAnsi="Arial" w:cs="Arial"/>
          <w:spacing w:val="-2"/>
          <w:kern w:val="0"/>
          <w:sz w:val="22"/>
          <w:szCs w:val="22"/>
        </w:rPr>
        <w:t>Yeongyang</w:t>
      </w:r>
      <w:proofErr w:type="spellEnd"/>
      <w:r w:rsidRPr="009E1CCE">
        <w:rPr>
          <w:rFonts w:ascii="Arial" w:hAnsi="Arial" w:cs="Arial"/>
          <w:spacing w:val="-2"/>
          <w:kern w:val="0"/>
          <w:sz w:val="22"/>
          <w:szCs w:val="22"/>
        </w:rPr>
        <w:t xml:space="preserve">-gun (4%) in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 xml:space="preserve">-do, </w:t>
      </w:r>
      <w:proofErr w:type="spellStart"/>
      <w:r w:rsidRPr="009E1CCE">
        <w:rPr>
          <w:rFonts w:ascii="Arial" w:hAnsi="Arial" w:cs="Arial"/>
          <w:spacing w:val="-2"/>
          <w:kern w:val="0"/>
          <w:sz w:val="22"/>
          <w:szCs w:val="22"/>
        </w:rPr>
        <w:t>Ulleung</w:t>
      </w:r>
      <w:proofErr w:type="spellEnd"/>
      <w:r w:rsidRPr="009E1CCE">
        <w:rPr>
          <w:rFonts w:ascii="Arial" w:hAnsi="Arial" w:cs="Arial"/>
          <w:spacing w:val="-2"/>
          <w:kern w:val="0"/>
          <w:sz w:val="22"/>
          <w:szCs w:val="22"/>
        </w:rPr>
        <w:t xml:space="preserve">-gun (4%) in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 xml:space="preserve">-do, and </w:t>
      </w:r>
      <w:proofErr w:type="spellStart"/>
      <w:r w:rsidRPr="009E1CCE">
        <w:rPr>
          <w:rFonts w:ascii="Arial" w:hAnsi="Arial" w:cs="Arial"/>
          <w:spacing w:val="-2"/>
          <w:kern w:val="0"/>
          <w:sz w:val="22"/>
          <w:szCs w:val="22"/>
        </w:rPr>
        <w:t>Gunwi</w:t>
      </w:r>
      <w:proofErr w:type="spellEnd"/>
      <w:r w:rsidRPr="009E1CCE">
        <w:rPr>
          <w:rFonts w:ascii="Arial" w:hAnsi="Arial" w:cs="Arial"/>
          <w:spacing w:val="-2"/>
          <w:kern w:val="0"/>
          <w:sz w:val="22"/>
          <w:szCs w:val="22"/>
        </w:rPr>
        <w:t xml:space="preserve">-gun (5%) in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-do.</w:t>
      </w:r>
    </w:p>
    <w:p w14:paraId="48382068"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In the case of the gross floor area of houses, detached houses had the highest ratio of the housing that has a gross floor area exceeding 130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apartment and row houses had a high ratio of the housing that has a gross floor area between 60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xml:space="preserve"> and 85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and apartment unit in a private house had a high ratio of the housing that has a gross floor area between 40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xml:space="preserve"> and 60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Apartments had the largest living area at 76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xml:space="preserve"> per household. Detached houses had the largest living area at 36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xml:space="preserve"> per person. However, apartments, row houses, and studio apartments had a similar living area at 27-29 m</w:t>
      </w:r>
      <w:r w:rsidRPr="009E1CCE">
        <w:rPr>
          <w:rFonts w:ascii="Arial" w:hAnsi="Arial" w:cs="Arial"/>
          <w:spacing w:val="-2"/>
          <w:kern w:val="0"/>
          <w:sz w:val="22"/>
          <w:szCs w:val="22"/>
          <w:vertAlign w:val="superscript"/>
        </w:rPr>
        <w:t>2</w:t>
      </w:r>
      <w:r w:rsidRPr="009E1CCE">
        <w:rPr>
          <w:rFonts w:ascii="Arial" w:hAnsi="Arial" w:cs="Arial"/>
          <w:spacing w:val="-2"/>
          <w:kern w:val="0"/>
          <w:sz w:val="22"/>
          <w:szCs w:val="22"/>
        </w:rPr>
        <w:t xml:space="preserve"> per person. The average number of occupants per household was lowest in the studio apartments at 1.5 persons, followed by the detached houses with 1.9 persons, and the apartments with 2.7 people the most.</w:t>
      </w:r>
    </w:p>
    <w:p w14:paraId="2C40014F"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By housing tenure type, as of 2020, most people lived in owned houses, followed by the security rent houses, exclusive lease houses (a.k.a. </w:t>
      </w:r>
      <w:proofErr w:type="spellStart"/>
      <w:r w:rsidRPr="009E1CCE">
        <w:rPr>
          <w:rFonts w:ascii="Arial" w:hAnsi="Arial" w:cs="Arial"/>
          <w:spacing w:val="-2"/>
          <w:kern w:val="0"/>
          <w:sz w:val="22"/>
          <w:szCs w:val="22"/>
        </w:rPr>
        <w:t>jeonse</w:t>
      </w:r>
      <w:proofErr w:type="spellEnd"/>
      <w:r w:rsidRPr="009E1CCE">
        <w:rPr>
          <w:rFonts w:ascii="Arial" w:hAnsi="Arial" w:cs="Arial"/>
          <w:spacing w:val="-2"/>
          <w:kern w:val="0"/>
          <w:sz w:val="22"/>
          <w:szCs w:val="22"/>
        </w:rPr>
        <w:t xml:space="preserve">), non-security houses, and </w:t>
      </w:r>
      <w:proofErr w:type="gramStart"/>
      <w:r w:rsidRPr="009E1CCE">
        <w:rPr>
          <w:rFonts w:ascii="Arial" w:hAnsi="Arial" w:cs="Arial"/>
          <w:spacing w:val="-2"/>
          <w:kern w:val="0"/>
          <w:sz w:val="22"/>
          <w:szCs w:val="22"/>
        </w:rPr>
        <w:t>rent free</w:t>
      </w:r>
      <w:proofErr w:type="gramEnd"/>
      <w:r w:rsidRPr="009E1CCE">
        <w:rPr>
          <w:rFonts w:ascii="Arial" w:hAnsi="Arial" w:cs="Arial"/>
          <w:spacing w:val="-2"/>
          <w:kern w:val="0"/>
          <w:sz w:val="22"/>
          <w:szCs w:val="22"/>
        </w:rPr>
        <w:t xml:space="preserve"> houses. At the -</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 xml:space="preserve">/-do area levels, Seoul had the lowest owned home ratio at 43.5%, and </w:t>
      </w:r>
      <w:proofErr w:type="spellStart"/>
      <w:r w:rsidRPr="009E1CCE">
        <w:rPr>
          <w:rFonts w:ascii="Arial" w:hAnsi="Arial" w:cs="Arial"/>
          <w:spacing w:val="-2"/>
          <w:kern w:val="0"/>
          <w:sz w:val="22"/>
          <w:szCs w:val="22"/>
        </w:rPr>
        <w:t>Jeollanam</w:t>
      </w:r>
      <w:proofErr w:type="spellEnd"/>
      <w:r w:rsidRPr="009E1CCE">
        <w:rPr>
          <w:rFonts w:ascii="Arial" w:hAnsi="Arial" w:cs="Arial"/>
          <w:spacing w:val="-2"/>
          <w:kern w:val="0"/>
          <w:sz w:val="22"/>
          <w:szCs w:val="22"/>
        </w:rPr>
        <w:t xml:space="preserve">-do </w:t>
      </w:r>
      <w:proofErr w:type="gramStart"/>
      <w:r w:rsidRPr="009E1CCE">
        <w:rPr>
          <w:rFonts w:ascii="Arial" w:hAnsi="Arial" w:cs="Arial"/>
          <w:spacing w:val="-2"/>
          <w:kern w:val="0"/>
          <w:sz w:val="22"/>
          <w:szCs w:val="22"/>
        </w:rPr>
        <w:t>had</w:t>
      </w:r>
      <w:proofErr w:type="gramEnd"/>
      <w:r w:rsidRPr="009E1CCE">
        <w:rPr>
          <w:rFonts w:ascii="Arial" w:hAnsi="Arial" w:cs="Arial"/>
          <w:spacing w:val="-2"/>
          <w:kern w:val="0"/>
          <w:sz w:val="22"/>
          <w:szCs w:val="22"/>
        </w:rPr>
        <w:t xml:space="preserve"> the highest at 71.1%. At the -</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/-gun/-</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area levels, the ratio of owned houses was low in the Seoul Metropolitan Area and other metropolitan areas.</w:t>
      </w:r>
    </w:p>
    <w:p w14:paraId="2E7F1123" w14:textId="77777777" w:rsidR="009635EE" w:rsidRPr="009E1CCE" w:rsidRDefault="009635EE" w:rsidP="009E1CCE">
      <w:pPr>
        <w:spacing w:line="276" w:lineRule="auto"/>
        <w:rPr>
          <w:rFonts w:ascii="Arial" w:hAnsi="Arial" w:cs="Arial"/>
          <w:sz w:val="22"/>
          <w:szCs w:val="22"/>
        </w:rPr>
      </w:pPr>
    </w:p>
    <w:p w14:paraId="76E8799E" w14:textId="77777777" w:rsidR="002D518A" w:rsidRDefault="002D518A">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BC13298" w14:textId="475DDCB2" w:rsidR="009635EE" w:rsidRPr="009E1CCE" w:rsidRDefault="009635EE" w:rsidP="009E1CCE">
      <w:pPr>
        <w:widowControl/>
        <w:wordWrap/>
        <w:spacing w:line="276" w:lineRule="auto"/>
        <w:rPr>
          <w:rFonts w:ascii="Arial" w:hAnsi="Arial" w:cs="Arial"/>
          <w:kern w:val="0"/>
          <w:sz w:val="22"/>
          <w:szCs w:val="22"/>
        </w:rPr>
      </w:pPr>
      <w:r w:rsidRPr="009E1CCE">
        <w:rPr>
          <w:rFonts w:ascii="Arial" w:hAnsi="Arial" w:cs="Arial"/>
          <w:b/>
          <w:bCs/>
          <w:spacing w:val="-5"/>
          <w:kern w:val="0"/>
          <w:sz w:val="22"/>
          <w:szCs w:val="22"/>
        </w:rPr>
        <w:lastRenderedPageBreak/>
        <w:t>Single-Person Household </w:t>
      </w:r>
    </w:p>
    <w:p w14:paraId="1DBEEAFB" w14:textId="4F8EA440" w:rsidR="009635EE" w:rsidRPr="0002165F" w:rsidRDefault="009635EE" w:rsidP="009E1CCE">
      <w:pPr>
        <w:spacing w:line="276" w:lineRule="auto"/>
        <w:rPr>
          <w:rFonts w:ascii="Arial" w:hAnsi="Arial" w:cs="Arial"/>
          <w:sz w:val="22"/>
          <w:szCs w:val="22"/>
        </w:rPr>
      </w:pPr>
    </w:p>
    <w:p w14:paraId="2E3FFCD9" w14:textId="2BC47FF2" w:rsidR="002D518A" w:rsidRPr="0002165F" w:rsidRDefault="002D518A" w:rsidP="009E1CCE">
      <w:pPr>
        <w:spacing w:line="276" w:lineRule="auto"/>
        <w:rPr>
          <w:rFonts w:ascii="Arial" w:hAnsi="Arial" w:cs="Arial"/>
          <w:sz w:val="22"/>
          <w:szCs w:val="22"/>
        </w:rPr>
      </w:pPr>
      <w:r w:rsidRPr="0002165F">
        <w:rPr>
          <w:rFonts w:ascii="Arial" w:hAnsi="Arial" w:cs="Arial"/>
          <w:sz w:val="22"/>
          <w:szCs w:val="22"/>
        </w:rPr>
        <w:t xml:space="preserve">&lt;map&gt; </w:t>
      </w:r>
      <w:r w:rsidR="0002165F" w:rsidRPr="0002165F">
        <w:rPr>
          <w:rFonts w:ascii="Arial" w:hAnsi="Arial" w:cs="Arial"/>
          <w:sz w:val="22"/>
          <w:szCs w:val="22"/>
        </w:rPr>
        <w:t>Singe-Person Household Ratio (2010)</w:t>
      </w:r>
    </w:p>
    <w:p w14:paraId="04444A7E" w14:textId="52F56A4C" w:rsidR="002D518A" w:rsidRPr="0002165F" w:rsidRDefault="002D518A" w:rsidP="002D518A">
      <w:pPr>
        <w:spacing w:line="276" w:lineRule="auto"/>
        <w:rPr>
          <w:rFonts w:ascii="Arial" w:hAnsi="Arial" w:cs="Arial"/>
          <w:sz w:val="22"/>
          <w:szCs w:val="22"/>
        </w:rPr>
      </w:pPr>
      <w:r w:rsidRPr="0002165F">
        <w:rPr>
          <w:rFonts w:ascii="Arial" w:hAnsi="Arial" w:cs="Arial"/>
          <w:sz w:val="22"/>
          <w:szCs w:val="22"/>
        </w:rPr>
        <w:t xml:space="preserve">&lt;map&gt; </w:t>
      </w:r>
      <w:r w:rsidR="0002165F" w:rsidRPr="0002165F">
        <w:rPr>
          <w:rFonts w:ascii="Arial" w:hAnsi="Arial" w:cs="Arial"/>
          <w:sz w:val="22"/>
          <w:szCs w:val="22"/>
        </w:rPr>
        <w:t>Singe-Person Household Ratio (20</w:t>
      </w:r>
      <w:r w:rsidR="0002165F" w:rsidRPr="0002165F">
        <w:rPr>
          <w:rFonts w:ascii="Arial" w:hAnsi="Arial" w:cs="Arial"/>
          <w:sz w:val="22"/>
          <w:szCs w:val="22"/>
        </w:rPr>
        <w:t>2</w:t>
      </w:r>
      <w:r w:rsidR="0002165F" w:rsidRPr="0002165F">
        <w:rPr>
          <w:rFonts w:ascii="Arial" w:hAnsi="Arial" w:cs="Arial"/>
          <w:sz w:val="22"/>
          <w:szCs w:val="22"/>
        </w:rPr>
        <w:t>0)</w:t>
      </w:r>
    </w:p>
    <w:p w14:paraId="632A1E21" w14:textId="77B804BC" w:rsidR="002D518A" w:rsidRPr="0002165F" w:rsidRDefault="002D518A" w:rsidP="002D518A">
      <w:pPr>
        <w:spacing w:line="276" w:lineRule="auto"/>
        <w:rPr>
          <w:rFonts w:ascii="Arial" w:hAnsi="Arial" w:cs="Arial"/>
          <w:sz w:val="22"/>
          <w:szCs w:val="22"/>
        </w:rPr>
      </w:pPr>
      <w:r w:rsidRPr="0002165F">
        <w:rPr>
          <w:rFonts w:ascii="Arial" w:hAnsi="Arial" w:cs="Arial"/>
          <w:sz w:val="22"/>
          <w:szCs w:val="22"/>
        </w:rPr>
        <w:t xml:space="preserve">&lt;map&gt; </w:t>
      </w:r>
      <w:r w:rsidR="0002165F" w:rsidRPr="0002165F">
        <w:rPr>
          <w:rStyle w:val="A12"/>
          <w:rFonts w:ascii="Arial" w:hAnsi="Arial" w:cs="Arial"/>
          <w:sz w:val="22"/>
          <w:szCs w:val="22"/>
        </w:rPr>
        <w:t>Sex Ratio of Single</w:t>
      </w:r>
      <w:r w:rsidR="0002165F" w:rsidRPr="0002165F">
        <w:rPr>
          <w:rStyle w:val="A40"/>
          <w:rFonts w:ascii="Arial" w:hAnsi="Arial" w:cs="Arial"/>
          <w:sz w:val="22"/>
          <w:szCs w:val="22"/>
        </w:rPr>
        <w:t>-</w:t>
      </w:r>
      <w:r w:rsidR="0002165F" w:rsidRPr="0002165F">
        <w:rPr>
          <w:rStyle w:val="A12"/>
          <w:rFonts w:ascii="Arial" w:hAnsi="Arial" w:cs="Arial"/>
          <w:sz w:val="22"/>
          <w:szCs w:val="22"/>
        </w:rPr>
        <w:t xml:space="preserve">Person Households </w:t>
      </w:r>
      <w:r w:rsidR="0002165F" w:rsidRPr="0002165F">
        <w:rPr>
          <w:rStyle w:val="A40"/>
          <w:rFonts w:ascii="Arial" w:hAnsi="Arial" w:cs="Arial"/>
          <w:sz w:val="22"/>
          <w:szCs w:val="22"/>
        </w:rPr>
        <w:t>(</w:t>
      </w:r>
      <w:r w:rsidR="0002165F" w:rsidRPr="0002165F">
        <w:rPr>
          <w:rStyle w:val="A12"/>
          <w:rFonts w:ascii="Arial" w:hAnsi="Arial" w:cs="Arial"/>
          <w:sz w:val="22"/>
          <w:szCs w:val="22"/>
        </w:rPr>
        <w:t>2020</w:t>
      </w:r>
      <w:r w:rsidR="0002165F" w:rsidRPr="0002165F">
        <w:rPr>
          <w:rStyle w:val="A40"/>
          <w:rFonts w:ascii="Arial" w:hAnsi="Arial" w:cs="Arial"/>
          <w:sz w:val="22"/>
          <w:szCs w:val="22"/>
        </w:rPr>
        <w:t>)</w:t>
      </w:r>
    </w:p>
    <w:p w14:paraId="46C206F6" w14:textId="466C92A5" w:rsidR="002D518A" w:rsidRPr="0002165F" w:rsidRDefault="002D518A" w:rsidP="009E1CCE">
      <w:pPr>
        <w:spacing w:line="276" w:lineRule="auto"/>
        <w:rPr>
          <w:rFonts w:ascii="Arial" w:hAnsi="Arial" w:cs="Arial"/>
          <w:sz w:val="22"/>
          <w:szCs w:val="22"/>
        </w:rPr>
      </w:pPr>
      <w:r w:rsidRPr="0002165F">
        <w:rPr>
          <w:rFonts w:ascii="Arial" w:hAnsi="Arial" w:cs="Arial"/>
          <w:sz w:val="22"/>
          <w:szCs w:val="22"/>
        </w:rPr>
        <w:t xml:space="preserve">&lt;graph&gt; </w:t>
      </w:r>
      <w:r w:rsidR="0002165F" w:rsidRPr="0002165F">
        <w:rPr>
          <w:rStyle w:val="A30"/>
          <w:rFonts w:ascii="Arial" w:hAnsi="Arial" w:cs="Arial"/>
          <w:sz w:val="22"/>
          <w:szCs w:val="22"/>
        </w:rPr>
        <w:t>Changes in Household Size</w:t>
      </w:r>
    </w:p>
    <w:p w14:paraId="21E82CE3" w14:textId="4E1A1F6D" w:rsidR="002D518A" w:rsidRPr="0002165F" w:rsidRDefault="002D518A" w:rsidP="009E1CCE">
      <w:pPr>
        <w:spacing w:line="276" w:lineRule="auto"/>
        <w:rPr>
          <w:rFonts w:ascii="Arial" w:hAnsi="Arial" w:cs="Arial"/>
          <w:sz w:val="22"/>
          <w:szCs w:val="22"/>
        </w:rPr>
      </w:pPr>
      <w:r w:rsidRPr="0002165F">
        <w:rPr>
          <w:rFonts w:ascii="Arial" w:hAnsi="Arial" w:cs="Arial"/>
          <w:sz w:val="22"/>
          <w:szCs w:val="22"/>
        </w:rPr>
        <w:t>&lt;graph&gt;</w:t>
      </w:r>
      <w:r w:rsidR="0002165F" w:rsidRPr="0002165F">
        <w:rPr>
          <w:rFonts w:ascii="Arial" w:hAnsi="Arial" w:cs="Arial"/>
          <w:sz w:val="22"/>
          <w:szCs w:val="22"/>
        </w:rPr>
        <w:t xml:space="preserve"> </w:t>
      </w:r>
      <w:r w:rsidR="0002165F" w:rsidRPr="0002165F">
        <w:rPr>
          <w:rStyle w:val="A30"/>
          <w:rFonts w:ascii="Arial" w:hAnsi="Arial" w:cs="Arial"/>
          <w:sz w:val="22"/>
          <w:szCs w:val="22"/>
        </w:rPr>
        <w:t>Single-Person Households by Gender, Age, and Marital Status (2020)</w:t>
      </w:r>
    </w:p>
    <w:p w14:paraId="4A3EA680" w14:textId="24EDC419" w:rsidR="002D518A" w:rsidRPr="0002165F" w:rsidRDefault="0002165F" w:rsidP="009E1CCE">
      <w:pPr>
        <w:spacing w:line="276" w:lineRule="auto"/>
        <w:rPr>
          <w:rFonts w:ascii="Arial" w:hAnsi="Arial" w:cs="Arial"/>
          <w:sz w:val="22"/>
          <w:szCs w:val="22"/>
        </w:rPr>
      </w:pPr>
      <w:r w:rsidRPr="0002165F">
        <w:rPr>
          <w:rFonts w:ascii="Arial" w:hAnsi="Arial" w:cs="Arial"/>
          <w:sz w:val="22"/>
          <w:szCs w:val="22"/>
        </w:rPr>
        <w:t xml:space="preserve">&lt;table&gt; </w:t>
      </w:r>
      <w:r w:rsidRPr="0002165F">
        <w:rPr>
          <w:rStyle w:val="A30"/>
          <w:rFonts w:ascii="Arial" w:hAnsi="Arial" w:cs="Arial"/>
          <w:sz w:val="22"/>
          <w:szCs w:val="22"/>
        </w:rPr>
        <w:t>Single-Person Households by Provinces (2010–2020)</w:t>
      </w:r>
    </w:p>
    <w:p w14:paraId="3851F798" w14:textId="77777777" w:rsidR="002D518A" w:rsidRPr="009E1CCE" w:rsidRDefault="002D518A" w:rsidP="009E1CCE">
      <w:pPr>
        <w:spacing w:line="276" w:lineRule="auto"/>
        <w:rPr>
          <w:rFonts w:ascii="Arial" w:hAnsi="Arial" w:cs="Arial" w:hint="eastAsia"/>
          <w:sz w:val="22"/>
          <w:szCs w:val="22"/>
        </w:rPr>
      </w:pPr>
    </w:p>
    <w:p w14:paraId="40495907"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The increase of single-person households is a worldwide phenomenon, occurring not only in Korea but also in developed and developing countries. In Korea, the number of single-person households has been increasing very rapidly. The proportion of single-person households increased rapidly from 9.0 percent in 1990 to 31.7 percent in 2020. Single-person households had the highest proportion among all types of households, accounting for 27.2 percent in 2015, and the proportion is expected to reach 36.4 percent by 2040.</w:t>
      </w:r>
    </w:p>
    <w:p w14:paraId="58E94413"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As of 2020, the proportion of single-person households was over 30 percent in all provinces and metropolitan cities, excluding Incheon, Ulsan, and Gyeonggi-do. In 2040, the proportion of single-person households is expected to reach 40 percent in Daejeon, Gangwon-do, and Chungcheongnam-do. </w:t>
      </w:r>
    </w:p>
    <w:p w14:paraId="07E56146"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As of 2020, regions with a high proportion of single-person households were metropolitan cities where many young adults in their 20s and 30s resided, such as </w:t>
      </w:r>
      <w:proofErr w:type="spellStart"/>
      <w:r w:rsidRPr="009E1CCE">
        <w:rPr>
          <w:rFonts w:ascii="Arial" w:hAnsi="Arial" w:cs="Arial"/>
          <w:spacing w:val="-2"/>
          <w:kern w:val="0"/>
          <w:sz w:val="22"/>
          <w:szCs w:val="22"/>
        </w:rPr>
        <w:t>Kwanak-gu</w:t>
      </w:r>
      <w:proofErr w:type="spellEnd"/>
      <w:r w:rsidRPr="009E1CCE">
        <w:rPr>
          <w:rFonts w:ascii="Arial" w:hAnsi="Arial" w:cs="Arial"/>
          <w:spacing w:val="-2"/>
          <w:kern w:val="0"/>
          <w:sz w:val="22"/>
          <w:szCs w:val="22"/>
        </w:rPr>
        <w:t xml:space="preserve">, </w:t>
      </w:r>
      <w:proofErr w:type="spellStart"/>
      <w:r w:rsidRPr="009E1CCE">
        <w:rPr>
          <w:rFonts w:ascii="Arial" w:hAnsi="Arial" w:cs="Arial"/>
          <w:spacing w:val="-2"/>
          <w:kern w:val="0"/>
          <w:sz w:val="22"/>
          <w:szCs w:val="22"/>
        </w:rPr>
        <w:t>Jongro-gu</w:t>
      </w:r>
      <w:proofErr w:type="spellEnd"/>
      <w:r w:rsidRPr="009E1CCE">
        <w:rPr>
          <w:rFonts w:ascii="Arial" w:hAnsi="Arial" w:cs="Arial"/>
          <w:spacing w:val="-2"/>
          <w:kern w:val="0"/>
          <w:sz w:val="22"/>
          <w:szCs w:val="22"/>
        </w:rPr>
        <w:t xml:space="preserve">, and </w:t>
      </w:r>
      <w:proofErr w:type="spellStart"/>
      <w:r w:rsidRPr="009E1CCE">
        <w:rPr>
          <w:rFonts w:ascii="Arial" w:hAnsi="Arial" w:cs="Arial"/>
          <w:spacing w:val="-2"/>
          <w:kern w:val="0"/>
          <w:sz w:val="22"/>
          <w:szCs w:val="22"/>
        </w:rPr>
        <w:t>Geumcheon-gu</w:t>
      </w:r>
      <w:proofErr w:type="spellEnd"/>
      <w:r w:rsidRPr="009E1CCE">
        <w:rPr>
          <w:rFonts w:ascii="Arial" w:hAnsi="Arial" w:cs="Arial"/>
          <w:spacing w:val="-2"/>
          <w:kern w:val="0"/>
          <w:sz w:val="22"/>
          <w:szCs w:val="22"/>
        </w:rPr>
        <w:t xml:space="preserve"> in Seoul, Jung-</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in Busan, and Nam-</w:t>
      </w:r>
      <w:proofErr w:type="spellStart"/>
      <w:r w:rsidRPr="009E1CCE">
        <w:rPr>
          <w:rFonts w:ascii="Arial" w:hAnsi="Arial" w:cs="Arial"/>
          <w:spacing w:val="-2"/>
          <w:kern w:val="0"/>
          <w:sz w:val="22"/>
          <w:szCs w:val="22"/>
        </w:rPr>
        <w:t>gu</w:t>
      </w:r>
      <w:proofErr w:type="spellEnd"/>
      <w:r w:rsidRPr="009E1CCE">
        <w:rPr>
          <w:rFonts w:ascii="Arial" w:hAnsi="Arial" w:cs="Arial"/>
          <w:spacing w:val="-2"/>
          <w:kern w:val="0"/>
          <w:sz w:val="22"/>
          <w:szCs w:val="22"/>
        </w:rPr>
        <w:t xml:space="preserve"> in Daegu; island areas where the proportion of men was high, such as </w:t>
      </w:r>
      <w:proofErr w:type="spellStart"/>
      <w:r w:rsidRPr="009E1CCE">
        <w:rPr>
          <w:rFonts w:ascii="Arial" w:hAnsi="Arial" w:cs="Arial"/>
          <w:spacing w:val="-2"/>
          <w:kern w:val="0"/>
          <w:sz w:val="22"/>
          <w:szCs w:val="22"/>
        </w:rPr>
        <w:t>Ulleung</w:t>
      </w:r>
      <w:proofErr w:type="spellEnd"/>
      <w:r w:rsidRPr="009E1CCE">
        <w:rPr>
          <w:rFonts w:ascii="Arial" w:hAnsi="Arial" w:cs="Arial"/>
          <w:spacing w:val="-2"/>
          <w:kern w:val="0"/>
          <w:sz w:val="22"/>
          <w:szCs w:val="22"/>
        </w:rPr>
        <w:t xml:space="preserve">-gun in </w:t>
      </w:r>
      <w:proofErr w:type="spellStart"/>
      <w:r w:rsidRPr="009E1CCE">
        <w:rPr>
          <w:rFonts w:ascii="Arial" w:hAnsi="Arial" w:cs="Arial"/>
          <w:spacing w:val="-2"/>
          <w:kern w:val="0"/>
          <w:sz w:val="22"/>
          <w:szCs w:val="22"/>
        </w:rPr>
        <w:t>Gyeongsangbuk</w:t>
      </w:r>
      <w:proofErr w:type="spellEnd"/>
      <w:r w:rsidRPr="009E1CCE">
        <w:rPr>
          <w:rFonts w:ascii="Arial" w:hAnsi="Arial" w:cs="Arial"/>
          <w:spacing w:val="-2"/>
          <w:kern w:val="0"/>
          <w:sz w:val="22"/>
          <w:szCs w:val="22"/>
        </w:rPr>
        <w:t xml:space="preserve">-do and </w:t>
      </w:r>
      <w:proofErr w:type="spellStart"/>
      <w:r w:rsidRPr="009E1CCE">
        <w:rPr>
          <w:rFonts w:ascii="Arial" w:hAnsi="Arial" w:cs="Arial"/>
          <w:spacing w:val="-2"/>
          <w:kern w:val="0"/>
          <w:sz w:val="22"/>
          <w:szCs w:val="22"/>
        </w:rPr>
        <w:t>Ongjin</w:t>
      </w:r>
      <w:proofErr w:type="spellEnd"/>
      <w:r w:rsidRPr="009E1CCE">
        <w:rPr>
          <w:rFonts w:ascii="Arial" w:hAnsi="Arial" w:cs="Arial"/>
          <w:spacing w:val="-2"/>
          <w:kern w:val="0"/>
          <w:sz w:val="22"/>
          <w:szCs w:val="22"/>
        </w:rPr>
        <w:t xml:space="preserve">-gun in Incheon; and rural areas where many elderly single women resided. On the other hand, the regions with a lower proportion of single-person households were </w:t>
      </w:r>
      <w:proofErr w:type="spellStart"/>
      <w:r w:rsidRPr="009E1CCE">
        <w:rPr>
          <w:rFonts w:ascii="Arial" w:hAnsi="Arial" w:cs="Arial"/>
          <w:spacing w:val="-2"/>
          <w:kern w:val="0"/>
          <w:sz w:val="22"/>
          <w:szCs w:val="22"/>
        </w:rPr>
        <w:t>Gwacheon-si</w:t>
      </w:r>
      <w:proofErr w:type="spellEnd"/>
      <w:r w:rsidRPr="009E1CCE">
        <w:rPr>
          <w:rFonts w:ascii="Arial" w:hAnsi="Arial" w:cs="Arial"/>
          <w:spacing w:val="-2"/>
          <w:kern w:val="0"/>
          <w:sz w:val="22"/>
          <w:szCs w:val="22"/>
        </w:rPr>
        <w:t xml:space="preserve">, </w:t>
      </w:r>
      <w:proofErr w:type="spellStart"/>
      <w:r w:rsidRPr="009E1CCE">
        <w:rPr>
          <w:rFonts w:ascii="Arial" w:hAnsi="Arial" w:cs="Arial"/>
          <w:spacing w:val="-2"/>
          <w:kern w:val="0"/>
          <w:sz w:val="22"/>
          <w:szCs w:val="22"/>
        </w:rPr>
        <w:t>Namyangju-si</w:t>
      </w:r>
      <w:proofErr w:type="spellEnd"/>
      <w:r w:rsidRPr="009E1CCE">
        <w:rPr>
          <w:rFonts w:ascii="Arial" w:hAnsi="Arial" w:cs="Arial"/>
          <w:spacing w:val="-2"/>
          <w:kern w:val="0"/>
          <w:sz w:val="22"/>
          <w:szCs w:val="22"/>
        </w:rPr>
        <w:t xml:space="preserve">, </w:t>
      </w:r>
      <w:proofErr w:type="spellStart"/>
      <w:r w:rsidRPr="009E1CCE">
        <w:rPr>
          <w:rFonts w:ascii="Arial" w:hAnsi="Arial" w:cs="Arial"/>
          <w:spacing w:val="-2"/>
          <w:kern w:val="0"/>
          <w:sz w:val="22"/>
          <w:szCs w:val="22"/>
        </w:rPr>
        <w:t>Uiwang-si</w:t>
      </w:r>
      <w:proofErr w:type="spellEnd"/>
      <w:r w:rsidRPr="009E1CCE">
        <w:rPr>
          <w:rFonts w:ascii="Arial" w:hAnsi="Arial" w:cs="Arial"/>
          <w:spacing w:val="-2"/>
          <w:kern w:val="0"/>
          <w:sz w:val="22"/>
          <w:szCs w:val="22"/>
        </w:rPr>
        <w:t xml:space="preserve">, </w:t>
      </w:r>
      <w:proofErr w:type="spellStart"/>
      <w:r w:rsidRPr="009E1CCE">
        <w:rPr>
          <w:rFonts w:ascii="Arial" w:hAnsi="Arial" w:cs="Arial"/>
          <w:spacing w:val="-2"/>
          <w:kern w:val="0"/>
          <w:sz w:val="22"/>
          <w:szCs w:val="22"/>
        </w:rPr>
        <w:t>Yongin-si</w:t>
      </w:r>
      <w:proofErr w:type="spellEnd"/>
      <w:r w:rsidRPr="009E1CCE">
        <w:rPr>
          <w:rFonts w:ascii="Arial" w:hAnsi="Arial" w:cs="Arial"/>
          <w:spacing w:val="-2"/>
          <w:kern w:val="0"/>
          <w:sz w:val="22"/>
          <w:szCs w:val="22"/>
        </w:rPr>
        <w:t xml:space="preserve">, </w:t>
      </w:r>
      <w:proofErr w:type="spellStart"/>
      <w:r w:rsidRPr="009E1CCE">
        <w:rPr>
          <w:rFonts w:ascii="Arial" w:hAnsi="Arial" w:cs="Arial"/>
          <w:spacing w:val="-2"/>
          <w:kern w:val="0"/>
          <w:sz w:val="22"/>
          <w:szCs w:val="22"/>
        </w:rPr>
        <w:t>Gwangmyeong-si</w:t>
      </w:r>
      <w:proofErr w:type="spellEnd"/>
      <w:r w:rsidRPr="009E1CCE">
        <w:rPr>
          <w:rFonts w:ascii="Arial" w:hAnsi="Arial" w:cs="Arial"/>
          <w:spacing w:val="-2"/>
          <w:kern w:val="0"/>
          <w:sz w:val="22"/>
          <w:szCs w:val="22"/>
        </w:rPr>
        <w:t>, Anyang-</w:t>
      </w:r>
      <w:proofErr w:type="spellStart"/>
      <w:r w:rsidRPr="009E1CCE">
        <w:rPr>
          <w:rFonts w:ascii="Arial" w:hAnsi="Arial" w:cs="Arial"/>
          <w:spacing w:val="-2"/>
          <w:kern w:val="0"/>
          <w:sz w:val="22"/>
          <w:szCs w:val="22"/>
        </w:rPr>
        <w:t>si</w:t>
      </w:r>
      <w:proofErr w:type="spellEnd"/>
      <w:r w:rsidRPr="009E1CCE">
        <w:rPr>
          <w:rFonts w:ascii="Arial" w:hAnsi="Arial" w:cs="Arial"/>
          <w:spacing w:val="-2"/>
          <w:kern w:val="0"/>
          <w:sz w:val="22"/>
          <w:szCs w:val="22"/>
        </w:rPr>
        <w:t xml:space="preserve">, and </w:t>
      </w:r>
      <w:proofErr w:type="spellStart"/>
      <w:r w:rsidRPr="009E1CCE">
        <w:rPr>
          <w:rFonts w:ascii="Arial" w:hAnsi="Arial" w:cs="Arial"/>
          <w:spacing w:val="-2"/>
          <w:kern w:val="0"/>
          <w:sz w:val="22"/>
          <w:szCs w:val="22"/>
        </w:rPr>
        <w:t>Gimpo-si</w:t>
      </w:r>
      <w:proofErr w:type="spellEnd"/>
      <w:r w:rsidRPr="009E1CCE">
        <w:rPr>
          <w:rFonts w:ascii="Arial" w:hAnsi="Arial" w:cs="Arial"/>
          <w:spacing w:val="-2"/>
          <w:kern w:val="0"/>
          <w:sz w:val="22"/>
          <w:szCs w:val="22"/>
        </w:rPr>
        <w:t xml:space="preserve"> in Gyeonggi-do and </w:t>
      </w:r>
      <w:proofErr w:type="spellStart"/>
      <w:r w:rsidRPr="009E1CCE">
        <w:rPr>
          <w:rFonts w:ascii="Arial" w:hAnsi="Arial" w:cs="Arial"/>
          <w:spacing w:val="-2"/>
          <w:kern w:val="0"/>
          <w:sz w:val="22"/>
          <w:szCs w:val="22"/>
        </w:rPr>
        <w:t>Gyeryong-si</w:t>
      </w:r>
      <w:proofErr w:type="spellEnd"/>
      <w:r w:rsidRPr="009E1CCE">
        <w:rPr>
          <w:rFonts w:ascii="Arial" w:hAnsi="Arial" w:cs="Arial"/>
          <w:spacing w:val="-2"/>
          <w:kern w:val="0"/>
          <w:sz w:val="22"/>
          <w:szCs w:val="22"/>
        </w:rPr>
        <w:t xml:space="preserve"> in Chungcheongnam-do, where extensive residential land development took place in the Seoul Metropolitan Area. </w:t>
      </w:r>
    </w:p>
    <w:p w14:paraId="05D18224"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spacing w:val="-2"/>
          <w:kern w:val="0"/>
          <w:sz w:val="22"/>
          <w:szCs w:val="22"/>
        </w:rPr>
        <w:t xml:space="preserve">Single-person households show various distributions by gender, age, and marital status. As of 2020, single-person households have more men in their 60s and younger and more women in their 70s and older. </w:t>
      </w:r>
      <w:proofErr w:type="gramStart"/>
      <w:r w:rsidRPr="009E1CCE">
        <w:rPr>
          <w:rFonts w:ascii="Arial" w:hAnsi="Arial" w:cs="Arial"/>
          <w:spacing w:val="-2"/>
          <w:kern w:val="0"/>
          <w:sz w:val="22"/>
          <w:szCs w:val="22"/>
        </w:rPr>
        <w:t>As a whole, the</w:t>
      </w:r>
      <w:proofErr w:type="gramEnd"/>
      <w:r w:rsidRPr="009E1CCE">
        <w:rPr>
          <w:rFonts w:ascii="Arial" w:hAnsi="Arial" w:cs="Arial"/>
          <w:spacing w:val="-2"/>
          <w:kern w:val="0"/>
          <w:sz w:val="22"/>
          <w:szCs w:val="22"/>
        </w:rPr>
        <w:t xml:space="preserve"> proportion of women (50.3%) is slightly higher than that of men (49.7%). By age, those in their 20s or younger have the most, followed by those in their 70s or older, 30s, 50s, 60s, and 40s. By marital status, unmarried is the most common, followed by bereaved, divorced, and married. Single-person households in their 30s or younger are mainly distributed in cities, while elderly bereaved single-person households are mainly distributed in rural areas. In addition, the sex ratio of single-person households varies greatly depending on the characteristics of the region.</w:t>
      </w:r>
    </w:p>
    <w:p w14:paraId="517A4C09" w14:textId="77777777" w:rsidR="009635EE" w:rsidRPr="009E1CCE" w:rsidRDefault="009635EE" w:rsidP="009E1CCE">
      <w:pPr>
        <w:spacing w:line="276" w:lineRule="auto"/>
        <w:rPr>
          <w:rFonts w:ascii="Arial" w:hAnsi="Arial" w:cs="Arial"/>
          <w:sz w:val="22"/>
          <w:szCs w:val="22"/>
        </w:rPr>
      </w:pPr>
    </w:p>
    <w:p w14:paraId="24FD3847" w14:textId="77777777" w:rsidR="0002165F" w:rsidRDefault="0002165F">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BC3CE82" w14:textId="34BBD593" w:rsidR="009635EE" w:rsidRPr="009E1CCE" w:rsidRDefault="009635EE" w:rsidP="009E1CCE">
      <w:pPr>
        <w:widowControl/>
        <w:wordWrap/>
        <w:spacing w:line="276" w:lineRule="auto"/>
        <w:rPr>
          <w:rFonts w:ascii="Arial" w:hAnsi="Arial" w:cs="Arial"/>
          <w:kern w:val="0"/>
          <w:sz w:val="22"/>
          <w:szCs w:val="22"/>
        </w:rPr>
      </w:pPr>
      <w:r w:rsidRPr="009E1CCE">
        <w:rPr>
          <w:rFonts w:ascii="Arial" w:hAnsi="Arial" w:cs="Arial"/>
          <w:b/>
          <w:bCs/>
          <w:spacing w:val="-5"/>
          <w:kern w:val="0"/>
          <w:sz w:val="22"/>
          <w:szCs w:val="22"/>
        </w:rPr>
        <w:lastRenderedPageBreak/>
        <w:t>Household with the Elderly and Minors </w:t>
      </w:r>
    </w:p>
    <w:p w14:paraId="01D637E2" w14:textId="2164C766" w:rsidR="009635EE" w:rsidRPr="0021611D" w:rsidRDefault="009635EE" w:rsidP="009E1CCE">
      <w:pPr>
        <w:spacing w:line="276" w:lineRule="auto"/>
        <w:rPr>
          <w:rFonts w:ascii="Arial" w:hAnsi="Arial" w:cs="Arial"/>
          <w:sz w:val="22"/>
          <w:szCs w:val="22"/>
        </w:rPr>
      </w:pPr>
    </w:p>
    <w:p w14:paraId="32425219" w14:textId="6316BDD2" w:rsidR="0002165F" w:rsidRPr="0021611D" w:rsidRDefault="0002165F" w:rsidP="009E1CCE">
      <w:pPr>
        <w:spacing w:line="276" w:lineRule="auto"/>
        <w:rPr>
          <w:rFonts w:ascii="Arial" w:hAnsi="Arial" w:cs="Arial"/>
          <w:sz w:val="22"/>
          <w:szCs w:val="22"/>
        </w:rPr>
      </w:pPr>
      <w:r w:rsidRPr="0021611D">
        <w:rPr>
          <w:rFonts w:ascii="Arial" w:hAnsi="Arial" w:cs="Arial"/>
          <w:sz w:val="22"/>
          <w:szCs w:val="22"/>
        </w:rPr>
        <w:t xml:space="preserve">&lt;map&gt; </w:t>
      </w:r>
      <w:r w:rsidR="0021611D" w:rsidRPr="0021611D">
        <w:rPr>
          <w:rFonts w:ascii="Arial" w:hAnsi="Arial" w:cs="Arial"/>
          <w:sz w:val="22"/>
          <w:szCs w:val="22"/>
        </w:rPr>
        <w:t>Households with the Elderly Aged 65 or Older (2020)</w:t>
      </w:r>
    </w:p>
    <w:p w14:paraId="7DEE713C" w14:textId="6B6941E8" w:rsidR="0002165F" w:rsidRPr="0021611D" w:rsidRDefault="0002165F" w:rsidP="009E1CCE">
      <w:pPr>
        <w:spacing w:line="276" w:lineRule="auto"/>
        <w:rPr>
          <w:rFonts w:ascii="Arial" w:hAnsi="Arial" w:cs="Arial"/>
          <w:sz w:val="22"/>
          <w:szCs w:val="22"/>
        </w:rPr>
      </w:pPr>
      <w:r w:rsidRPr="0021611D">
        <w:rPr>
          <w:rFonts w:ascii="Arial" w:hAnsi="Arial" w:cs="Arial"/>
          <w:sz w:val="22"/>
          <w:szCs w:val="22"/>
        </w:rPr>
        <w:t xml:space="preserve">&lt;map&gt; </w:t>
      </w:r>
      <w:r w:rsidR="0021611D" w:rsidRPr="0021611D">
        <w:rPr>
          <w:rFonts w:ascii="Arial" w:hAnsi="Arial" w:cs="Arial"/>
          <w:sz w:val="22"/>
          <w:szCs w:val="22"/>
        </w:rPr>
        <w:t>Households with the Minor Under 18 Years Old (2020)</w:t>
      </w:r>
    </w:p>
    <w:p w14:paraId="6ECF0BD4" w14:textId="43000D3B" w:rsidR="0002165F" w:rsidRPr="0021611D" w:rsidRDefault="0002165F" w:rsidP="009E1CCE">
      <w:pPr>
        <w:spacing w:line="276" w:lineRule="auto"/>
        <w:rPr>
          <w:rFonts w:ascii="Arial" w:hAnsi="Arial" w:cs="Arial"/>
          <w:sz w:val="22"/>
          <w:szCs w:val="22"/>
        </w:rPr>
      </w:pPr>
      <w:r w:rsidRPr="0021611D">
        <w:rPr>
          <w:rFonts w:ascii="Arial" w:hAnsi="Arial" w:cs="Arial"/>
          <w:sz w:val="22"/>
          <w:szCs w:val="22"/>
        </w:rPr>
        <w:t xml:space="preserve">&lt;table&gt; </w:t>
      </w:r>
      <w:r w:rsidR="0021611D" w:rsidRPr="0021611D">
        <w:rPr>
          <w:rFonts w:ascii="Arial" w:hAnsi="Arial" w:cs="Arial"/>
          <w:sz w:val="22"/>
          <w:szCs w:val="22"/>
        </w:rPr>
        <w:t>Households with the Elderly or Minors (2020)</w:t>
      </w:r>
    </w:p>
    <w:p w14:paraId="30C6C432" w14:textId="043D75F2" w:rsidR="0002165F" w:rsidRPr="0021611D" w:rsidRDefault="0002165F" w:rsidP="009E1CCE">
      <w:pPr>
        <w:spacing w:line="276" w:lineRule="auto"/>
        <w:rPr>
          <w:rFonts w:ascii="Arial" w:hAnsi="Arial" w:cs="Arial"/>
          <w:sz w:val="22"/>
          <w:szCs w:val="22"/>
        </w:rPr>
      </w:pPr>
      <w:r w:rsidRPr="0021611D">
        <w:rPr>
          <w:rFonts w:ascii="Arial" w:hAnsi="Arial" w:cs="Arial"/>
          <w:sz w:val="22"/>
          <w:szCs w:val="22"/>
        </w:rPr>
        <w:t xml:space="preserve">&lt;graph&gt; </w:t>
      </w:r>
      <w:r w:rsidR="0021611D" w:rsidRPr="0021611D">
        <w:rPr>
          <w:rStyle w:val="A30"/>
          <w:rFonts w:ascii="Arial" w:hAnsi="Arial" w:cs="Arial"/>
          <w:sz w:val="22"/>
          <w:szCs w:val="22"/>
        </w:rPr>
        <w:t>Changes in the Number of Household Owners by Family and Age</w:t>
      </w:r>
    </w:p>
    <w:p w14:paraId="33A5E8AA" w14:textId="77777777" w:rsidR="0002165F" w:rsidRPr="0021611D" w:rsidRDefault="0002165F" w:rsidP="009E1CCE">
      <w:pPr>
        <w:spacing w:line="276" w:lineRule="auto"/>
        <w:rPr>
          <w:rFonts w:ascii="Arial" w:hAnsi="Arial" w:cs="Arial"/>
          <w:sz w:val="22"/>
          <w:szCs w:val="22"/>
        </w:rPr>
      </w:pPr>
    </w:p>
    <w:p w14:paraId="122A86BC"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kern w:val="0"/>
          <w:sz w:val="22"/>
          <w:szCs w:val="22"/>
        </w:rPr>
        <w:t xml:space="preserve">The numbers of single-person households and elderly households have increased, while the number of households with minors has decreased. The number of households with elderly people aged 65 and up increased from 4.07 million in 2010 to 5.87 million in 2020, accounting for 44 percent of all households. The proportion of elderly households rose from 23.5 percent in 2010 to 28.0 percent in 2020. As of 2020, the proportion of elderly households in </w:t>
      </w:r>
      <w:proofErr w:type="spellStart"/>
      <w:r w:rsidRPr="009E1CCE">
        <w:rPr>
          <w:rFonts w:ascii="Arial" w:hAnsi="Arial" w:cs="Arial"/>
          <w:kern w:val="0"/>
          <w:sz w:val="22"/>
          <w:szCs w:val="22"/>
        </w:rPr>
        <w:t>Jeollanam</w:t>
      </w:r>
      <w:proofErr w:type="spellEnd"/>
      <w:r w:rsidRPr="009E1CCE">
        <w:rPr>
          <w:rFonts w:ascii="Arial" w:hAnsi="Arial" w:cs="Arial"/>
          <w:kern w:val="0"/>
          <w:sz w:val="22"/>
          <w:szCs w:val="22"/>
        </w:rPr>
        <w:t xml:space="preserve">-do </w:t>
      </w:r>
      <w:proofErr w:type="gramStart"/>
      <w:r w:rsidRPr="009E1CCE">
        <w:rPr>
          <w:rFonts w:ascii="Arial" w:hAnsi="Arial" w:cs="Arial"/>
          <w:kern w:val="0"/>
          <w:sz w:val="22"/>
          <w:szCs w:val="22"/>
        </w:rPr>
        <w:t>had</w:t>
      </w:r>
      <w:proofErr w:type="gramEnd"/>
      <w:r w:rsidRPr="009E1CCE">
        <w:rPr>
          <w:rFonts w:ascii="Arial" w:hAnsi="Arial" w:cs="Arial"/>
          <w:kern w:val="0"/>
          <w:sz w:val="22"/>
          <w:szCs w:val="22"/>
        </w:rPr>
        <w:t xml:space="preserve"> risen to 39 percent. In addition, the proportion of households with only the elderly and households with elderly singles reached 14.2 percent and 7.9 percent, respectively, necessitating the development of systems supporting elderly households. Of the 229 municipalities nationwide, 41 -</w:t>
      </w:r>
      <w:proofErr w:type="spellStart"/>
      <w:r w:rsidRPr="009E1CCE">
        <w:rPr>
          <w:rFonts w:ascii="Arial" w:hAnsi="Arial" w:cs="Arial"/>
          <w:kern w:val="0"/>
          <w:sz w:val="22"/>
          <w:szCs w:val="22"/>
        </w:rPr>
        <w:t>si</w:t>
      </w:r>
      <w:proofErr w:type="spellEnd"/>
      <w:r w:rsidRPr="009E1CCE">
        <w:rPr>
          <w:rFonts w:ascii="Arial" w:hAnsi="Arial" w:cs="Arial"/>
          <w:kern w:val="0"/>
          <w:sz w:val="22"/>
          <w:szCs w:val="22"/>
        </w:rPr>
        <w:t>/-gun/-</w:t>
      </w:r>
      <w:proofErr w:type="spellStart"/>
      <w:r w:rsidRPr="009E1CCE">
        <w:rPr>
          <w:rFonts w:ascii="Arial" w:hAnsi="Arial" w:cs="Arial"/>
          <w:kern w:val="0"/>
          <w:sz w:val="22"/>
          <w:szCs w:val="22"/>
        </w:rPr>
        <w:t>gu</w:t>
      </w:r>
      <w:proofErr w:type="spellEnd"/>
      <w:r w:rsidRPr="009E1CCE">
        <w:rPr>
          <w:rFonts w:ascii="Arial" w:hAnsi="Arial" w:cs="Arial"/>
          <w:kern w:val="0"/>
          <w:sz w:val="22"/>
          <w:szCs w:val="22"/>
        </w:rPr>
        <w:t xml:space="preserve"> areas account for more than 50 percent of the elderly households, and the proportion of elderly households is low in large cities and the Seoul Metropolitan Areas. However, the proportion of elderly households is expected to increase rapidly in these urban areas.</w:t>
      </w:r>
    </w:p>
    <w:p w14:paraId="047FA588"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kern w:val="0"/>
          <w:sz w:val="22"/>
          <w:szCs w:val="22"/>
        </w:rPr>
        <w:t>The number of households with minors under the age of 18 decreased by 11 percent, from 5.57 million households in 2016 to 4.95 million households in 2020, and the proportion of households with minors dropped from 28.7 percent in 2016 to 23.6 percent in 2020. Households with children under the age of five experienced the greatest decline, falling 18 percent from 2.06 million in 2016 to 1.69 million in 2020. Although policies to encourage childbirth have been implemented, the number of births is expected to decrease due to various social and economic factors. Accordingly, the number of households and household members is also expected to decrease. However, the proportion of households with minors generally shows the opposite trend of change to the proportion of elderly households. As of 2020, in 117 out of 229 -</w:t>
      </w:r>
      <w:proofErr w:type="spellStart"/>
      <w:r w:rsidRPr="009E1CCE">
        <w:rPr>
          <w:rFonts w:ascii="Arial" w:hAnsi="Arial" w:cs="Arial"/>
          <w:kern w:val="0"/>
          <w:sz w:val="22"/>
          <w:szCs w:val="22"/>
        </w:rPr>
        <w:t>si</w:t>
      </w:r>
      <w:proofErr w:type="spellEnd"/>
      <w:r w:rsidRPr="009E1CCE">
        <w:rPr>
          <w:rFonts w:ascii="Arial" w:hAnsi="Arial" w:cs="Arial"/>
          <w:kern w:val="0"/>
          <w:sz w:val="22"/>
          <w:szCs w:val="22"/>
        </w:rPr>
        <w:t>/-gun/-</w:t>
      </w:r>
      <w:proofErr w:type="spellStart"/>
      <w:r w:rsidRPr="009E1CCE">
        <w:rPr>
          <w:rFonts w:ascii="Arial" w:hAnsi="Arial" w:cs="Arial"/>
          <w:kern w:val="0"/>
          <w:sz w:val="22"/>
          <w:szCs w:val="22"/>
        </w:rPr>
        <w:t>gu</w:t>
      </w:r>
      <w:proofErr w:type="spellEnd"/>
      <w:r w:rsidRPr="009E1CCE">
        <w:rPr>
          <w:rFonts w:ascii="Arial" w:hAnsi="Arial" w:cs="Arial"/>
          <w:kern w:val="0"/>
          <w:sz w:val="22"/>
          <w:szCs w:val="22"/>
        </w:rPr>
        <w:t xml:space="preserve"> areas, the proportion of households with minors was less than 20 percent. On the other hand, there are only 18 -</w:t>
      </w:r>
      <w:proofErr w:type="spellStart"/>
      <w:r w:rsidRPr="009E1CCE">
        <w:rPr>
          <w:rFonts w:ascii="Arial" w:hAnsi="Arial" w:cs="Arial"/>
          <w:kern w:val="0"/>
          <w:sz w:val="22"/>
          <w:szCs w:val="22"/>
        </w:rPr>
        <w:t>si</w:t>
      </w:r>
      <w:proofErr w:type="spellEnd"/>
      <w:r w:rsidRPr="009E1CCE">
        <w:rPr>
          <w:rFonts w:ascii="Arial" w:hAnsi="Arial" w:cs="Arial"/>
          <w:kern w:val="0"/>
          <w:sz w:val="22"/>
          <w:szCs w:val="22"/>
        </w:rPr>
        <w:t>/-gun/-</w:t>
      </w:r>
      <w:proofErr w:type="spellStart"/>
      <w:r w:rsidRPr="009E1CCE">
        <w:rPr>
          <w:rFonts w:ascii="Arial" w:hAnsi="Arial" w:cs="Arial"/>
          <w:kern w:val="0"/>
          <w:sz w:val="22"/>
          <w:szCs w:val="22"/>
        </w:rPr>
        <w:t>gu</w:t>
      </w:r>
      <w:proofErr w:type="spellEnd"/>
      <w:r w:rsidRPr="009E1CCE">
        <w:rPr>
          <w:rFonts w:ascii="Arial" w:hAnsi="Arial" w:cs="Arial"/>
          <w:kern w:val="0"/>
          <w:sz w:val="22"/>
          <w:szCs w:val="22"/>
        </w:rPr>
        <w:t xml:space="preserve"> areas where the proportion of households with minors was greater than 30 percent.</w:t>
      </w:r>
    </w:p>
    <w:p w14:paraId="2FFE049C" w14:textId="77777777" w:rsidR="009635EE" w:rsidRPr="009E1CCE" w:rsidRDefault="009635EE" w:rsidP="009E1CCE">
      <w:pPr>
        <w:widowControl/>
        <w:wordWrap/>
        <w:spacing w:line="276" w:lineRule="auto"/>
        <w:ind w:firstLine="128"/>
        <w:rPr>
          <w:rFonts w:ascii="Arial" w:hAnsi="Arial" w:cs="Arial"/>
          <w:kern w:val="0"/>
          <w:sz w:val="22"/>
          <w:szCs w:val="22"/>
        </w:rPr>
      </w:pPr>
      <w:r w:rsidRPr="009E1CCE">
        <w:rPr>
          <w:rFonts w:ascii="Arial" w:hAnsi="Arial" w:cs="Arial"/>
          <w:kern w:val="0"/>
          <w:sz w:val="22"/>
          <w:szCs w:val="22"/>
        </w:rPr>
        <w:t>Heads of households were in their 30s, 40s, and 50s in order in 1990. However, as of 2020, heads of households were in their 50s, 40s, and 60s in order, and there were more heads of households aged 70 and over than those in their 30s. This change results from longer life expectancy and increased social activities of the elderly. In addition, the proportion of female heads of households increased from 15.7 percent in 1990 to 32.7 percent in 2020, representing the increase in women's social activities.</w:t>
      </w:r>
    </w:p>
    <w:p w14:paraId="3F03A2F9" w14:textId="77777777" w:rsidR="009635EE" w:rsidRPr="009E1CCE" w:rsidRDefault="009635EE" w:rsidP="009E1CCE">
      <w:pPr>
        <w:spacing w:line="276" w:lineRule="auto"/>
        <w:rPr>
          <w:rFonts w:ascii="Arial" w:hAnsi="Arial" w:cs="Arial"/>
          <w:sz w:val="22"/>
          <w:szCs w:val="22"/>
        </w:rPr>
      </w:pPr>
    </w:p>
    <w:sectPr w:rsidR="009635EE" w:rsidRPr="009E1CCE"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0737A" w14:textId="77777777" w:rsidR="00097B76" w:rsidRDefault="00097B76" w:rsidP="009E1CCE">
      <w:r>
        <w:separator/>
      </w:r>
    </w:p>
  </w:endnote>
  <w:endnote w:type="continuationSeparator" w:id="0">
    <w:p w14:paraId="08A668E0" w14:textId="77777777" w:rsidR="00097B76" w:rsidRDefault="00097B76" w:rsidP="009E1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F3E17" w14:textId="77777777" w:rsidR="00097B76" w:rsidRDefault="00097B76" w:rsidP="009E1CCE">
      <w:r>
        <w:separator/>
      </w:r>
    </w:p>
  </w:footnote>
  <w:footnote w:type="continuationSeparator" w:id="0">
    <w:p w14:paraId="0E413A6E" w14:textId="77777777" w:rsidR="00097B76" w:rsidRDefault="00097B76" w:rsidP="009E1C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5EE"/>
    <w:rsid w:val="0002165F"/>
    <w:rsid w:val="00097B76"/>
    <w:rsid w:val="0021611D"/>
    <w:rsid w:val="002625BF"/>
    <w:rsid w:val="002D518A"/>
    <w:rsid w:val="004D730E"/>
    <w:rsid w:val="00510793"/>
    <w:rsid w:val="009635EE"/>
    <w:rsid w:val="009E1CCE"/>
    <w:rsid w:val="00C562C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D3640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2D518A"/>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9635EE"/>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9635EE"/>
    <w:rPr>
      <w:spacing w:val="-3"/>
    </w:rPr>
  </w:style>
  <w:style w:type="character" w:customStyle="1" w:styleId="apple-converted-space">
    <w:name w:val="apple-converted-space"/>
    <w:basedOn w:val="a0"/>
    <w:rsid w:val="009635EE"/>
  </w:style>
  <w:style w:type="paragraph" w:styleId="a3">
    <w:name w:val="header"/>
    <w:basedOn w:val="a"/>
    <w:link w:val="Char"/>
    <w:uiPriority w:val="99"/>
    <w:unhideWhenUsed/>
    <w:rsid w:val="009E1CCE"/>
    <w:pPr>
      <w:tabs>
        <w:tab w:val="center" w:pos="4513"/>
        <w:tab w:val="right" w:pos="9026"/>
      </w:tabs>
      <w:snapToGrid w:val="0"/>
    </w:pPr>
  </w:style>
  <w:style w:type="character" w:customStyle="1" w:styleId="Char">
    <w:name w:val="머리글 Char"/>
    <w:basedOn w:val="a0"/>
    <w:link w:val="a3"/>
    <w:uiPriority w:val="99"/>
    <w:rsid w:val="009E1CCE"/>
  </w:style>
  <w:style w:type="paragraph" w:styleId="a4">
    <w:name w:val="footer"/>
    <w:basedOn w:val="a"/>
    <w:link w:val="Char0"/>
    <w:uiPriority w:val="99"/>
    <w:unhideWhenUsed/>
    <w:rsid w:val="009E1CCE"/>
    <w:pPr>
      <w:tabs>
        <w:tab w:val="center" w:pos="4513"/>
        <w:tab w:val="right" w:pos="9026"/>
      </w:tabs>
      <w:snapToGrid w:val="0"/>
    </w:pPr>
  </w:style>
  <w:style w:type="character" w:customStyle="1" w:styleId="Char0">
    <w:name w:val="바닥글 Char"/>
    <w:basedOn w:val="a0"/>
    <w:link w:val="a4"/>
    <w:uiPriority w:val="99"/>
    <w:rsid w:val="009E1CCE"/>
  </w:style>
  <w:style w:type="paragraph" w:customStyle="1" w:styleId="Default">
    <w:name w:val="Default"/>
    <w:rsid w:val="002625BF"/>
    <w:pPr>
      <w:widowControl w:val="0"/>
      <w:autoSpaceDE w:val="0"/>
      <w:autoSpaceDN w:val="0"/>
      <w:adjustRightInd w:val="0"/>
    </w:pPr>
    <w:rPr>
      <w:rFonts w:ascii="Montserrat" w:hAnsi="Montserrat" w:cs="Montserrat"/>
      <w:color w:val="000000"/>
      <w:kern w:val="0"/>
    </w:rPr>
  </w:style>
  <w:style w:type="character" w:customStyle="1" w:styleId="A30">
    <w:name w:val="A3"/>
    <w:uiPriority w:val="99"/>
    <w:rsid w:val="002625BF"/>
    <w:rPr>
      <w:rFonts w:cs="Montserrat"/>
      <w:color w:val="211D1E"/>
      <w:sz w:val="21"/>
      <w:szCs w:val="21"/>
    </w:rPr>
  </w:style>
  <w:style w:type="character" w:customStyle="1" w:styleId="A40">
    <w:name w:val="A4"/>
    <w:uiPriority w:val="99"/>
    <w:rsid w:val="00C562C9"/>
    <w:rPr>
      <w:rFonts w:cs="Montserrat"/>
      <w:color w:val="211D1E"/>
      <w:sz w:val="21"/>
      <w:szCs w:val="21"/>
    </w:rPr>
  </w:style>
  <w:style w:type="character" w:customStyle="1" w:styleId="A12">
    <w:name w:val="A12"/>
    <w:uiPriority w:val="99"/>
    <w:rsid w:val="002D518A"/>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226177">
      <w:bodyDiv w:val="1"/>
      <w:marLeft w:val="0"/>
      <w:marRight w:val="0"/>
      <w:marTop w:val="0"/>
      <w:marBottom w:val="0"/>
      <w:divBdr>
        <w:top w:val="none" w:sz="0" w:space="0" w:color="auto"/>
        <w:left w:val="none" w:sz="0" w:space="0" w:color="auto"/>
        <w:bottom w:val="none" w:sz="0" w:space="0" w:color="auto"/>
        <w:right w:val="none" w:sz="0" w:space="0" w:color="auto"/>
      </w:divBdr>
    </w:div>
    <w:div w:id="343284547">
      <w:bodyDiv w:val="1"/>
      <w:marLeft w:val="0"/>
      <w:marRight w:val="0"/>
      <w:marTop w:val="0"/>
      <w:marBottom w:val="0"/>
      <w:divBdr>
        <w:top w:val="none" w:sz="0" w:space="0" w:color="auto"/>
        <w:left w:val="none" w:sz="0" w:space="0" w:color="auto"/>
        <w:bottom w:val="none" w:sz="0" w:space="0" w:color="auto"/>
        <w:right w:val="none" w:sz="0" w:space="0" w:color="auto"/>
      </w:divBdr>
    </w:div>
    <w:div w:id="409472868">
      <w:bodyDiv w:val="1"/>
      <w:marLeft w:val="0"/>
      <w:marRight w:val="0"/>
      <w:marTop w:val="0"/>
      <w:marBottom w:val="0"/>
      <w:divBdr>
        <w:top w:val="none" w:sz="0" w:space="0" w:color="auto"/>
        <w:left w:val="none" w:sz="0" w:space="0" w:color="auto"/>
        <w:bottom w:val="none" w:sz="0" w:space="0" w:color="auto"/>
        <w:right w:val="none" w:sz="0" w:space="0" w:color="auto"/>
      </w:divBdr>
    </w:div>
    <w:div w:id="464741905">
      <w:bodyDiv w:val="1"/>
      <w:marLeft w:val="0"/>
      <w:marRight w:val="0"/>
      <w:marTop w:val="0"/>
      <w:marBottom w:val="0"/>
      <w:divBdr>
        <w:top w:val="none" w:sz="0" w:space="0" w:color="auto"/>
        <w:left w:val="none" w:sz="0" w:space="0" w:color="auto"/>
        <w:bottom w:val="none" w:sz="0" w:space="0" w:color="auto"/>
        <w:right w:val="none" w:sz="0" w:space="0" w:color="auto"/>
      </w:divBdr>
    </w:div>
    <w:div w:id="879708856">
      <w:bodyDiv w:val="1"/>
      <w:marLeft w:val="0"/>
      <w:marRight w:val="0"/>
      <w:marTop w:val="0"/>
      <w:marBottom w:val="0"/>
      <w:divBdr>
        <w:top w:val="none" w:sz="0" w:space="0" w:color="auto"/>
        <w:left w:val="none" w:sz="0" w:space="0" w:color="auto"/>
        <w:bottom w:val="none" w:sz="0" w:space="0" w:color="auto"/>
        <w:right w:val="none" w:sz="0" w:space="0" w:color="auto"/>
      </w:divBdr>
    </w:div>
    <w:div w:id="998071277">
      <w:bodyDiv w:val="1"/>
      <w:marLeft w:val="0"/>
      <w:marRight w:val="0"/>
      <w:marTop w:val="0"/>
      <w:marBottom w:val="0"/>
      <w:divBdr>
        <w:top w:val="none" w:sz="0" w:space="0" w:color="auto"/>
        <w:left w:val="none" w:sz="0" w:space="0" w:color="auto"/>
        <w:bottom w:val="none" w:sz="0" w:space="0" w:color="auto"/>
        <w:right w:val="none" w:sz="0" w:space="0" w:color="auto"/>
      </w:divBdr>
    </w:div>
    <w:div w:id="1042830193">
      <w:bodyDiv w:val="1"/>
      <w:marLeft w:val="0"/>
      <w:marRight w:val="0"/>
      <w:marTop w:val="0"/>
      <w:marBottom w:val="0"/>
      <w:divBdr>
        <w:top w:val="none" w:sz="0" w:space="0" w:color="auto"/>
        <w:left w:val="none" w:sz="0" w:space="0" w:color="auto"/>
        <w:bottom w:val="none" w:sz="0" w:space="0" w:color="auto"/>
        <w:right w:val="none" w:sz="0" w:space="0" w:color="auto"/>
      </w:divBdr>
    </w:div>
    <w:div w:id="1380590451">
      <w:bodyDiv w:val="1"/>
      <w:marLeft w:val="0"/>
      <w:marRight w:val="0"/>
      <w:marTop w:val="0"/>
      <w:marBottom w:val="0"/>
      <w:divBdr>
        <w:top w:val="none" w:sz="0" w:space="0" w:color="auto"/>
        <w:left w:val="none" w:sz="0" w:space="0" w:color="auto"/>
        <w:bottom w:val="none" w:sz="0" w:space="0" w:color="auto"/>
        <w:right w:val="none" w:sz="0" w:space="0" w:color="auto"/>
      </w:divBdr>
    </w:div>
    <w:div w:id="1505508628">
      <w:bodyDiv w:val="1"/>
      <w:marLeft w:val="0"/>
      <w:marRight w:val="0"/>
      <w:marTop w:val="0"/>
      <w:marBottom w:val="0"/>
      <w:divBdr>
        <w:top w:val="none" w:sz="0" w:space="0" w:color="auto"/>
        <w:left w:val="none" w:sz="0" w:space="0" w:color="auto"/>
        <w:bottom w:val="none" w:sz="0" w:space="0" w:color="auto"/>
        <w:right w:val="none" w:sz="0" w:space="0" w:color="auto"/>
      </w:divBdr>
    </w:div>
    <w:div w:id="1835411139">
      <w:bodyDiv w:val="1"/>
      <w:marLeft w:val="0"/>
      <w:marRight w:val="0"/>
      <w:marTop w:val="0"/>
      <w:marBottom w:val="0"/>
      <w:divBdr>
        <w:top w:val="none" w:sz="0" w:space="0" w:color="auto"/>
        <w:left w:val="none" w:sz="0" w:space="0" w:color="auto"/>
        <w:bottom w:val="none" w:sz="0" w:space="0" w:color="auto"/>
        <w:right w:val="none" w:sz="0" w:space="0" w:color="auto"/>
      </w:divBdr>
    </w:div>
    <w:div w:id="1880626865">
      <w:bodyDiv w:val="1"/>
      <w:marLeft w:val="0"/>
      <w:marRight w:val="0"/>
      <w:marTop w:val="0"/>
      <w:marBottom w:val="0"/>
      <w:divBdr>
        <w:top w:val="none" w:sz="0" w:space="0" w:color="auto"/>
        <w:left w:val="none" w:sz="0" w:space="0" w:color="auto"/>
        <w:bottom w:val="none" w:sz="0" w:space="0" w:color="auto"/>
        <w:right w:val="none" w:sz="0" w:space="0" w:color="auto"/>
      </w:divBdr>
    </w:div>
    <w:div w:id="20649791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2406</Words>
  <Characters>13715</Characters>
  <Application>Microsoft Office Word</Application>
  <DocSecurity>0</DocSecurity>
  <Lines>114</Lines>
  <Paragraphs>32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6</cp:revision>
  <dcterms:created xsi:type="dcterms:W3CDTF">2022-06-15T04:26:00Z</dcterms:created>
  <dcterms:modified xsi:type="dcterms:W3CDTF">2022-06-16T04:34:00Z</dcterms:modified>
</cp:coreProperties>
</file>