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AD75A" w14:textId="77777777" w:rsidR="008536DF" w:rsidRPr="003D22FD" w:rsidRDefault="008536DF" w:rsidP="008536DF">
      <w:pPr>
        <w:widowControl/>
        <w:wordWrap/>
        <w:adjustRightInd w:val="0"/>
        <w:snapToGrid w:val="0"/>
        <w:spacing w:line="276" w:lineRule="auto"/>
        <w:rPr>
          <w:rFonts w:ascii="Arial" w:hAnsi="Arial" w:cs="Arial"/>
          <w:b/>
          <w:bCs/>
          <w:kern w:val="0"/>
          <w:sz w:val="32"/>
          <w:szCs w:val="32"/>
        </w:rPr>
      </w:pPr>
      <w:r w:rsidRPr="003D22FD">
        <w:rPr>
          <w:rFonts w:ascii="Arial" w:hAnsi="Arial" w:cs="Arial"/>
          <w:b/>
          <w:bCs/>
          <w:spacing w:val="-5"/>
          <w:kern w:val="0"/>
          <w:sz w:val="32"/>
          <w:szCs w:val="32"/>
        </w:rPr>
        <w:t>1. National territory and places of life</w:t>
      </w:r>
    </w:p>
    <w:p w14:paraId="1840F275" w14:textId="24D353BE" w:rsidR="008536DF" w:rsidRPr="008536DF" w:rsidRDefault="008536DF" w:rsidP="008536DF">
      <w:pPr>
        <w:pStyle w:val="p1"/>
        <w:ind w:left="760"/>
        <w:rPr>
          <w:rStyle w:val="s1"/>
          <w:rFonts w:hint="eastAsia"/>
        </w:rPr>
      </w:pPr>
    </w:p>
    <w:p w14:paraId="70588434" w14:textId="276A6E78" w:rsidR="001917DA" w:rsidRPr="009B7E22" w:rsidRDefault="008536DF" w:rsidP="001917DA">
      <w:pPr>
        <w:pStyle w:val="p1"/>
        <w:rPr>
          <w:rFonts w:ascii="Arial" w:hAnsi="Arial" w:cs="Arial"/>
          <w:b/>
          <w:bCs/>
          <w:sz w:val="24"/>
          <w:szCs w:val="24"/>
        </w:rPr>
      </w:pPr>
      <w:r w:rsidRPr="009B7E22">
        <w:rPr>
          <w:rStyle w:val="s1"/>
          <w:rFonts w:ascii="Arial" w:hAnsi="Arial" w:cs="Arial"/>
          <w:b/>
          <w:bCs/>
          <w:sz w:val="24"/>
          <w:szCs w:val="24"/>
        </w:rPr>
        <w:t xml:space="preserve">1.4 </w:t>
      </w:r>
      <w:r w:rsidR="001917DA" w:rsidRPr="009B7E22">
        <w:rPr>
          <w:rStyle w:val="s1"/>
          <w:rFonts w:ascii="Arial" w:hAnsi="Arial" w:cs="Arial"/>
          <w:b/>
          <w:bCs/>
          <w:sz w:val="24"/>
          <w:szCs w:val="24"/>
        </w:rPr>
        <w:t>Balanced National Development</w:t>
      </w:r>
    </w:p>
    <w:p w14:paraId="0ED4C11F" w14:textId="77777777" w:rsidR="000B0E62" w:rsidRPr="009B7E22" w:rsidRDefault="00664B8A" w:rsidP="008536DF">
      <w:pPr>
        <w:spacing w:line="276" w:lineRule="auto"/>
        <w:rPr>
          <w:rFonts w:ascii="Arial" w:hAnsi="Arial" w:cs="Arial"/>
          <w:sz w:val="22"/>
          <w:szCs w:val="22"/>
        </w:rPr>
      </w:pPr>
    </w:p>
    <w:p w14:paraId="2C010054"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balanced development policy, which adapted from the 2nd Comprehensive National Land Development Plan in 1982, has been a major ideology of the national land development policy. The Five-Year Economic Development Plans that began in the 1960s and the First Comprehensive National Land Development Plan in the 1970s dramatically developed the national economy. However, the disparity in economic development between regions was also large enough not to be ignored. Accordingly, the government has proposed a balanced development policy to develop national territory evenly since the 1980s. Under the goal of “National Expansion of Development Potential,” the 2nd Comprehensive National Land Development Plan aimed to nurture cities around major cities and small and medium-sized local cities across the nation by developing industrial complexes suitable for the size of these cities rather than constructing large-scale industrial complexes in some areas. The plan also built rural-type industrial complexes in provincial cities where the population was expected to decrease and expanded and paved major roads such as national and regional roads.     </w:t>
      </w:r>
    </w:p>
    <w:p w14:paraId="3D7650A9"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The 3rd Comprehensive National Land Development Plan (1992–2001) in 1992 also continued the balanced development policy. It aimed to develop local cities and rural areas intensively and suppress the industrial concentration in the Seoul Metropolitan Area. In large cities, a wide-area development plan management system was introduced. In small and medium-sized cities, industries suitable for urban characteristics such as manufacturing, tourism, and universities were developed, and convenient facilities such as education, culture, and medical care were expanded. In addition, </w:t>
      </w:r>
      <w:proofErr w:type="gramStart"/>
      <w:r w:rsidRPr="009B7E22">
        <w:rPr>
          <w:rFonts w:ascii="Arial" w:hAnsi="Arial" w:cs="Arial"/>
          <w:kern w:val="0"/>
          <w:sz w:val="22"/>
          <w:szCs w:val="22"/>
        </w:rPr>
        <w:t>in order to</w:t>
      </w:r>
      <w:proofErr w:type="gramEnd"/>
      <w:r w:rsidRPr="009B7E22">
        <w:rPr>
          <w:rFonts w:ascii="Arial" w:hAnsi="Arial" w:cs="Arial"/>
          <w:kern w:val="0"/>
          <w:sz w:val="22"/>
          <w:szCs w:val="22"/>
        </w:rPr>
        <w:t xml:space="preserve"> suppress the concentration of population and economy in the metropolitan area, public institutions were moved to provincial areas, and taxation and financial support were differentiated between the Seoul Metropolitan Area and provincial areas.</w:t>
      </w:r>
    </w:p>
    <w:p w14:paraId="7F013B6F"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4th Comprehensive National Land Plan (2000–2020) was introduced after the local autonomy was implemented in the 1990s. It was established with the vision of “The Balanced Land where All Prosper Together” and aimed to achieve regional integration through balanced development between regions. This plan established a national supra-economic network of regional axes, with the coastal national axis aiming for international development and the east-west inland axes promoting balanced development. The south inland axis (</w:t>
      </w:r>
      <w:proofErr w:type="spellStart"/>
      <w:r w:rsidRPr="009B7E22">
        <w:rPr>
          <w:rFonts w:ascii="Arial" w:hAnsi="Arial" w:cs="Arial"/>
          <w:kern w:val="0"/>
          <w:sz w:val="22"/>
          <w:szCs w:val="22"/>
        </w:rPr>
        <w:t>Gunsan-si</w:t>
      </w:r>
      <w:proofErr w:type="spellEnd"/>
      <w:r w:rsidRPr="009B7E22">
        <w:rPr>
          <w:rFonts w:ascii="Arial" w:hAnsi="Arial" w:cs="Arial"/>
          <w:kern w:val="0"/>
          <w:sz w:val="22"/>
          <w:szCs w:val="22"/>
        </w:rPr>
        <w:t xml:space="preserve"> and Pohang-</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and the central inland axis (Incheon and Sokcho-</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were set as the east-west inland axes. In preparation for post-unification, a north inland axis (Pyongyang-</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xml:space="preserve"> and Wonsan-</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was also designated.</w:t>
      </w:r>
    </w:p>
    <w:p w14:paraId="6D51FB92" w14:textId="38CACB73" w:rsidR="001917DA" w:rsidRPr="009B7E22" w:rsidRDefault="001917DA" w:rsidP="008536DF">
      <w:pPr>
        <w:spacing w:line="276" w:lineRule="auto"/>
        <w:rPr>
          <w:rFonts w:ascii="Arial" w:hAnsi="Arial" w:cs="Arial"/>
          <w:sz w:val="22"/>
          <w:szCs w:val="22"/>
        </w:rPr>
      </w:pPr>
    </w:p>
    <w:p w14:paraId="56EBC1E2" w14:textId="7D3FB732" w:rsidR="000E005E" w:rsidRPr="009B7E22" w:rsidRDefault="000E005E" w:rsidP="000E005E">
      <w:pPr>
        <w:pStyle w:val="Default"/>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rPr>
        <w:t>Changes in the Comprehensive National Territorial Plan</w:t>
      </w:r>
    </w:p>
    <w:p w14:paraId="3A3DA16F" w14:textId="77777777" w:rsidR="000E005E" w:rsidRPr="009B7E22" w:rsidRDefault="000E005E" w:rsidP="008536DF">
      <w:pPr>
        <w:spacing w:line="276" w:lineRule="auto"/>
        <w:rPr>
          <w:rFonts w:ascii="Arial" w:hAnsi="Arial" w:cs="Arial"/>
          <w:sz w:val="22"/>
          <w:szCs w:val="22"/>
        </w:rPr>
      </w:pPr>
    </w:p>
    <w:p w14:paraId="7D2CFFC1"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In the early </w:t>
      </w:r>
      <w:proofErr w:type="spellStart"/>
      <w:r w:rsidRPr="009B7E22">
        <w:rPr>
          <w:rFonts w:ascii="Arial" w:hAnsi="Arial" w:cs="Arial"/>
          <w:kern w:val="0"/>
          <w:sz w:val="22"/>
          <w:szCs w:val="22"/>
        </w:rPr>
        <w:t>2000s</w:t>
      </w:r>
      <w:proofErr w:type="spellEnd"/>
      <w:r w:rsidRPr="009B7E22">
        <w:rPr>
          <w:rFonts w:ascii="Arial" w:hAnsi="Arial" w:cs="Arial"/>
          <w:kern w:val="0"/>
          <w:sz w:val="22"/>
          <w:szCs w:val="22"/>
        </w:rPr>
        <w:t xml:space="preserve">, when the 4th Comprehensive National Land Plan was in progress, balanced national development was enacted into law. In 2004, the first 5-Year Balanced National Development Plan with the subtitle “Regional Innovation Development Plan” was launched. This plan cultivated regional strategic industries and unique local </w:t>
      </w:r>
      <w:r w:rsidRPr="009B7E22">
        <w:rPr>
          <w:rFonts w:ascii="Arial" w:hAnsi="Arial" w:cs="Arial"/>
          <w:kern w:val="0"/>
          <w:sz w:val="22"/>
          <w:szCs w:val="22"/>
        </w:rPr>
        <w:lastRenderedPageBreak/>
        <w:t xml:space="preserve">businesses in 16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/-do areas and developed super-wide clusters between adjacent metropolitan and regional governments. In addition, the central government carried out regional development strategies that fit into the Regional Innovation Development Plans established for each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/-do area. The title of the Balanced National Development Plan was changed to the Regional Development Plan. The 2nd 5-Year Regional Development Plan (2009–2013) and the 3rd 5-Year Regional Development Plan (2014–2018) were carried out afterward.</w:t>
      </w:r>
    </w:p>
    <w:p w14:paraId="425C88B9"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2nd 5-Year Regional Development Plan, reflecting the national policy of 5+2 Economic Region Revitalization, established the following four sectoral plans: the establishment of a 5+2 economic region; the formation of 163 -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/-gun primary living zones; the 4+α mega economic region initiative; and decentralization and regulatory rationalization. The 3rd 5-Year Regional Development Plan suggested regional development policy directions centered on the “Regional Hope (HOPE)” project announced in 2013 to strengthen regional competitiveness and improve residents’ quality of life. This plan created the following six implementation plans: expansion of the local happy living sphere; enhancement of regional economic vitality through job creation; improvement of educational conditions and nurturing of creative talents; thriving of local culture and ecological restoration; establishing welfare and medical care in areas without blind spots; and continued promotion of balanced regional development.</w:t>
      </w:r>
    </w:p>
    <w:p w14:paraId="72F5F38D"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In 2018, the title of the Regional Development Plan returned to its original name, the National Balanced Development Plan. The 4th 5-Year National Balanced Development Plan (2018–2022) was announced in January 2019 with the vision of a “Country with a Strong Region, a Balanced Korea.” This plan set decentralization, inclusion, and innovation as the three goals of the national balanced development policy. The key policies to achieve these goals were the promotion of regional-led, decentralized balanced development (decentralization), the progressive restoration of the national balanced development system (inclusion), and the establishment of a foundation for regional-led independent growth (innovation). In addition, the three strategies based on people, space, and industry were adapted: stable and dignified life (people), vibrant space everywhere (space), and regional innovation that creates jobs (industry).</w:t>
      </w:r>
    </w:p>
    <w:p w14:paraId="608D59F6" w14:textId="77777777" w:rsidR="001917DA" w:rsidRPr="009B7E22" w:rsidRDefault="001917DA" w:rsidP="008536DF">
      <w:pPr>
        <w:spacing w:line="276" w:lineRule="auto"/>
        <w:rPr>
          <w:rFonts w:ascii="Arial" w:hAnsi="Arial" w:cs="Arial"/>
          <w:sz w:val="22"/>
          <w:szCs w:val="22"/>
        </w:rPr>
      </w:pPr>
    </w:p>
    <w:p w14:paraId="29C12862" w14:textId="616E5993" w:rsidR="001102D9" w:rsidRPr="009B7E22" w:rsidRDefault="001102D9">
      <w:pPr>
        <w:widowControl/>
        <w:wordWrap/>
        <w:jc w:val="left"/>
        <w:rPr>
          <w:rFonts w:ascii="Arial" w:hAnsi="Arial" w:cs="Arial"/>
          <w:sz w:val="22"/>
          <w:szCs w:val="22"/>
        </w:rPr>
      </w:pPr>
      <w:r w:rsidRPr="009B7E22">
        <w:rPr>
          <w:rFonts w:ascii="Arial" w:hAnsi="Arial" w:cs="Arial"/>
          <w:sz w:val="22"/>
          <w:szCs w:val="22"/>
        </w:rPr>
        <w:br w:type="page"/>
      </w:r>
    </w:p>
    <w:p w14:paraId="05C254B2" w14:textId="77777777" w:rsidR="001102D9" w:rsidRPr="009B7E22" w:rsidRDefault="001102D9" w:rsidP="001102D9">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National Territorial Plan and Balanced Development Policy</w:t>
      </w:r>
    </w:p>
    <w:p w14:paraId="616F4BF8" w14:textId="7A272827" w:rsidR="001917DA" w:rsidRPr="009B7E22" w:rsidRDefault="001917DA" w:rsidP="008536DF">
      <w:pPr>
        <w:spacing w:line="276" w:lineRule="auto"/>
        <w:rPr>
          <w:rFonts w:ascii="Arial" w:hAnsi="Arial" w:cs="Arial"/>
          <w:sz w:val="22"/>
          <w:szCs w:val="22"/>
        </w:rPr>
      </w:pPr>
    </w:p>
    <w:p w14:paraId="4B3C6611" w14:textId="04A0BAB8" w:rsidR="001102D9" w:rsidRPr="009B7E22" w:rsidRDefault="001102D9"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Fonts w:ascii="Arial" w:hAnsi="Arial" w:cs="Arial"/>
          <w:sz w:val="22"/>
          <w:szCs w:val="22"/>
        </w:rPr>
        <w:t>Map of Plan Integration by -Si/-Do of the Fourth Balanced National Development Plan</w:t>
      </w:r>
    </w:p>
    <w:p w14:paraId="7A2DAA06" w14:textId="44E08EC2" w:rsidR="001102D9" w:rsidRPr="009B7E22" w:rsidRDefault="001102D9" w:rsidP="008536DF">
      <w:pPr>
        <w:spacing w:line="276" w:lineRule="auto"/>
        <w:rPr>
          <w:rFonts w:ascii="Arial" w:hAnsi="Arial" w:cs="Arial"/>
          <w:sz w:val="22"/>
          <w:szCs w:val="22"/>
        </w:rPr>
      </w:pPr>
    </w:p>
    <w:p w14:paraId="75D17593" w14:textId="77777777" w:rsidR="001102D9" w:rsidRPr="009B7E22" w:rsidRDefault="001102D9" w:rsidP="008536DF">
      <w:pPr>
        <w:spacing w:line="276" w:lineRule="auto"/>
        <w:rPr>
          <w:rFonts w:ascii="Arial" w:hAnsi="Arial" w:cs="Arial"/>
          <w:sz w:val="22"/>
          <w:szCs w:val="22"/>
        </w:rPr>
      </w:pPr>
    </w:p>
    <w:p w14:paraId="2202CD6B" w14:textId="608F4FCB" w:rsidR="001102D9" w:rsidRPr="009B7E22" w:rsidRDefault="001102D9">
      <w:pPr>
        <w:widowControl/>
        <w:wordWrap/>
        <w:jc w:val="left"/>
        <w:rPr>
          <w:rFonts w:ascii="Arial" w:hAnsi="Arial" w:cs="Arial"/>
          <w:b/>
          <w:bCs/>
          <w:spacing w:val="-5"/>
          <w:kern w:val="0"/>
          <w:sz w:val="22"/>
          <w:szCs w:val="22"/>
        </w:rPr>
      </w:pPr>
      <w:r w:rsidRPr="009B7E22">
        <w:rPr>
          <w:rFonts w:ascii="Arial" w:hAnsi="Arial" w:cs="Arial"/>
          <w:b/>
          <w:bCs/>
          <w:spacing w:val="-5"/>
          <w:kern w:val="0"/>
          <w:sz w:val="22"/>
          <w:szCs w:val="22"/>
        </w:rPr>
        <w:br w:type="page"/>
      </w:r>
    </w:p>
    <w:p w14:paraId="7236EE4C" w14:textId="2F8BD1F7" w:rsidR="001917DA" w:rsidRPr="009B7E22" w:rsidRDefault="001917DA" w:rsidP="008536DF">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Quality of Life</w:t>
      </w:r>
    </w:p>
    <w:p w14:paraId="4060CA60" w14:textId="77777777" w:rsidR="001917DA" w:rsidRPr="009B7E22" w:rsidRDefault="001917DA" w:rsidP="008536DF">
      <w:pPr>
        <w:spacing w:line="276" w:lineRule="auto"/>
        <w:rPr>
          <w:rFonts w:ascii="Arial" w:hAnsi="Arial" w:cs="Arial"/>
          <w:sz w:val="22"/>
          <w:szCs w:val="22"/>
        </w:rPr>
      </w:pPr>
    </w:p>
    <w:p w14:paraId="5C40ACF3"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Education and job policies were crucial to ensure regional growth among the government’s balanced development policies. In 2019, the Ministry of Education created a framework for university financial support by integrating the existing government projects into the following four: the National University Development Project, University Innovation Support Project, Industry-University Cooperation Project (LINC+), and Research Support Project (BK21+).</w:t>
      </w:r>
    </w:p>
    <w:p w14:paraId="3837CB9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University Innovation Support Project is a financial support project that integrates the existing financial support (ACE+), specialization support (CK), humanities support (CORE), women’s engineering support (WE-UP), and industrial connection support (PRIME) projects. This project is divided into “autonomous improvement” and “capacity building” types. For three years from 2019, the government supported 143 universities, including 131 autonomous improvement universities and 12 capacity-building universities.</w:t>
      </w:r>
    </w:p>
    <w:p w14:paraId="4F89DCC8"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 xml:space="preserve">The </w:t>
      </w:r>
      <w:proofErr w:type="gramStart"/>
      <w:r w:rsidRPr="009B7E22">
        <w:rPr>
          <w:rFonts w:ascii="Arial" w:hAnsi="Arial" w:cs="Arial"/>
          <w:spacing w:val="2"/>
          <w:kern w:val="0"/>
          <w:sz w:val="22"/>
          <w:szCs w:val="22"/>
        </w:rPr>
        <w:t>Industry</w:t>
      </w:r>
      <w:proofErr w:type="gramEnd"/>
      <w:r w:rsidRPr="009B7E22">
        <w:rPr>
          <w:rFonts w:ascii="Arial" w:hAnsi="Arial" w:cs="Arial"/>
          <w:spacing w:val="2"/>
          <w:kern w:val="0"/>
          <w:sz w:val="22"/>
          <w:szCs w:val="22"/>
        </w:rPr>
        <w:t>-University Cooperation Project (LINC+) is the government’s support for industrial-educational cooperation, consisting of nurturing “Industry-Leading Universities” for the win-win development of universities and local communities and “Society-Tailored Industry-Academic Cooperation Leading Universities” to foster human resources for regional development. The government has supported 55 industry-leading universities for five years from 2017 to 2021 and has carried out the Society-Tailored Industry-University Cooperation Project through agreements with 20 universities every year.</w:t>
      </w:r>
    </w:p>
    <w:p w14:paraId="76E7D3B2"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Post-Education Leading University Project aims to foster lifelong vocational education institutions by operating an adult-friendly education system by establishing industry-university governance. The government selected 15 universities in 2019 and 10 in 2020.</w:t>
      </w:r>
    </w:p>
    <w:p w14:paraId="36B15B36"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BK21 Project, the government’s representative project for nurturing academic human resources, successfully carried out the first phase (1999–2007), the second phase (2006–2012), and the third phase (2013–2020). Currently, the 4th phase (2021–2027) is in progress.</w:t>
      </w:r>
    </w:p>
    <w:p w14:paraId="4D04F0B9" w14:textId="2527E582" w:rsidR="001917DA" w:rsidRPr="009B7E22" w:rsidRDefault="001917DA" w:rsidP="008536DF">
      <w:pPr>
        <w:spacing w:line="276" w:lineRule="auto"/>
        <w:rPr>
          <w:rFonts w:ascii="Arial" w:hAnsi="Arial" w:cs="Arial"/>
          <w:sz w:val="22"/>
          <w:szCs w:val="22"/>
        </w:rPr>
      </w:pPr>
    </w:p>
    <w:p w14:paraId="069C7CB4" w14:textId="16E71C59" w:rsidR="001102D9" w:rsidRPr="009B7E22" w:rsidRDefault="001102D9"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Fonts w:ascii="Arial" w:hAnsi="Arial" w:cs="Arial"/>
          <w:sz w:val="22"/>
          <w:szCs w:val="22"/>
        </w:rPr>
        <w:t>Government Support for Higher Education - National University</w:t>
      </w:r>
    </w:p>
    <w:p w14:paraId="5EE51848" w14:textId="7A412657"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&lt;map&gt; Government Support for Higher Education - Industry-Academic Cooperation</w:t>
      </w:r>
    </w:p>
    <w:p w14:paraId="3700E6ED" w14:textId="7AFF8F0B"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&lt;map&gt; Government Support for Higher Education-Innovation Support Project</w:t>
      </w:r>
    </w:p>
    <w:p w14:paraId="66E1CAEA" w14:textId="5FC02BF0"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&lt;map&gt; Government Support for Higher Education - Backward Education &amp; Empowerment</w:t>
      </w:r>
    </w:p>
    <w:p w14:paraId="02CAE8C7" w14:textId="60DA66E6"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National University Development Project</w:t>
      </w:r>
    </w:p>
    <w:p w14:paraId="6BC221EE" w14:textId="4FA5A5D5"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College of Industry-Academic Cooperation</w:t>
      </w:r>
    </w:p>
    <w:p w14:paraId="5C028016" w14:textId="66F5940C" w:rsidR="001102D9" w:rsidRPr="009B7E22" w:rsidRDefault="001102D9" w:rsidP="001102D9">
      <w:pPr>
        <w:spacing w:line="276" w:lineRule="auto"/>
        <w:rPr>
          <w:rFonts w:ascii="Arial" w:hAnsi="Arial" w:cs="Arial"/>
          <w:sz w:val="22"/>
          <w:szCs w:val="22"/>
        </w:rPr>
      </w:pPr>
      <w:r w:rsidRPr="009B7E22">
        <w:rPr>
          <w:rFonts w:ascii="Arial" w:hAnsi="Arial" w:cs="Arial"/>
          <w:sz w:val="22"/>
          <w:szCs w:val="22"/>
        </w:rPr>
        <w:t>&lt;table&gt; University Innovation Support Project</w:t>
      </w:r>
    </w:p>
    <w:p w14:paraId="6CD7B38C" w14:textId="14DAD463" w:rsidR="001102D9" w:rsidRPr="009B7E22" w:rsidRDefault="001102D9" w:rsidP="001102D9">
      <w:pPr>
        <w:spacing w:line="276" w:lineRule="auto"/>
        <w:rPr>
          <w:rStyle w:val="A30"/>
          <w:rFonts w:ascii="Arial" w:hAnsi="Arial" w:cs="Arial"/>
          <w:sz w:val="22"/>
          <w:szCs w:val="22"/>
        </w:rPr>
      </w:pPr>
      <w:r w:rsidRPr="009B7E22">
        <w:rPr>
          <w:rFonts w:ascii="Arial" w:hAnsi="Arial" w:cs="Arial"/>
          <w:sz w:val="22"/>
          <w:szCs w:val="22"/>
        </w:rPr>
        <w:t>&lt;table</w:t>
      </w:r>
      <w:r w:rsidRPr="009B7E22">
        <w:rPr>
          <w:rFonts w:ascii="Arial" w:hAnsi="Arial" w:cs="Arial"/>
          <w:sz w:val="22"/>
          <w:szCs w:val="22"/>
        </w:rPr>
        <w:t>, map</w:t>
      </w:r>
      <w:r w:rsidRPr="009B7E22">
        <w:rPr>
          <w:rFonts w:ascii="Arial" w:hAnsi="Arial" w:cs="Arial"/>
          <w:sz w:val="22"/>
          <w:szCs w:val="22"/>
        </w:rPr>
        <w:t xml:space="preserve">&gt; </w:t>
      </w:r>
      <w:proofErr w:type="spellStart"/>
      <w:r w:rsidRPr="009B7E22">
        <w:rPr>
          <w:rStyle w:val="A30"/>
          <w:rFonts w:ascii="Arial" w:hAnsi="Arial" w:cs="Arial"/>
          <w:sz w:val="22"/>
          <w:szCs w:val="22"/>
        </w:rPr>
        <w:t>BK21</w:t>
      </w:r>
      <w:proofErr w:type="spellEnd"/>
      <w:r w:rsidRPr="009B7E22">
        <w:rPr>
          <w:rStyle w:val="A30"/>
          <w:rFonts w:ascii="Arial" w:hAnsi="Arial" w:cs="Arial"/>
          <w:sz w:val="22"/>
          <w:szCs w:val="22"/>
        </w:rPr>
        <w:t>+ Research Support Project (2021–2027)</w:t>
      </w:r>
    </w:p>
    <w:p w14:paraId="2A12A412" w14:textId="1178FF40" w:rsidR="006A79C0" w:rsidRPr="009B7E22" w:rsidRDefault="006A79C0" w:rsidP="001102D9">
      <w:pPr>
        <w:spacing w:line="276" w:lineRule="auto"/>
        <w:rPr>
          <w:rStyle w:val="A30"/>
          <w:rFonts w:ascii="Arial" w:hAnsi="Arial" w:cs="Arial"/>
          <w:sz w:val="22"/>
          <w:szCs w:val="22"/>
        </w:rPr>
      </w:pPr>
      <w:r w:rsidRPr="009B7E22">
        <w:rPr>
          <w:rStyle w:val="A30"/>
          <w:rFonts w:ascii="Arial" w:hAnsi="Arial" w:cs="Arial"/>
          <w:sz w:val="22"/>
          <w:szCs w:val="22"/>
        </w:rPr>
        <w:t xml:space="preserve">&lt;map&gt; </w:t>
      </w:r>
      <w:r w:rsidRPr="009B7E22">
        <w:rPr>
          <w:rStyle w:val="A30"/>
          <w:rFonts w:ascii="Arial" w:hAnsi="Arial" w:cs="Arial"/>
          <w:sz w:val="22"/>
          <w:szCs w:val="22"/>
        </w:rPr>
        <w:t>Local Culture and Tourism</w:t>
      </w:r>
    </w:p>
    <w:p w14:paraId="6431F293" w14:textId="1104AD47" w:rsidR="006A79C0" w:rsidRPr="009B7E22" w:rsidRDefault="006A79C0" w:rsidP="001102D9">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Cultural Regeneration of Waste Industrial Facilities</w:t>
      </w:r>
    </w:p>
    <w:p w14:paraId="53EA7AEE" w14:textId="77777777" w:rsidR="001102D9" w:rsidRPr="009B7E22" w:rsidRDefault="001102D9" w:rsidP="008536DF">
      <w:pPr>
        <w:spacing w:line="276" w:lineRule="auto"/>
        <w:rPr>
          <w:rFonts w:ascii="Arial" w:hAnsi="Arial" w:cs="Arial"/>
          <w:sz w:val="22"/>
          <w:szCs w:val="22"/>
        </w:rPr>
      </w:pPr>
    </w:p>
    <w:p w14:paraId="5193B55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lastRenderedPageBreak/>
        <w:t xml:space="preserve">Since balanced development emerged in the 1980s, the government has made efforts to reduce the gap between cultural facilities and cultural enjoyment opportunities in metropolitan and non-metropolitan areas, as well as in large and small cities. However, there is still a large gap between the metropolitan areas and the non-metropolitan areas in terms of the quality of cultural facilities and the </w:t>
      </w:r>
      <w:proofErr w:type="gramStart"/>
      <w:r w:rsidRPr="009B7E22">
        <w:rPr>
          <w:rFonts w:ascii="Arial" w:hAnsi="Arial" w:cs="Arial"/>
          <w:kern w:val="0"/>
          <w:sz w:val="22"/>
          <w:szCs w:val="22"/>
        </w:rPr>
        <w:t>current status</w:t>
      </w:r>
      <w:proofErr w:type="gramEnd"/>
      <w:r w:rsidRPr="009B7E22">
        <w:rPr>
          <w:rFonts w:ascii="Arial" w:hAnsi="Arial" w:cs="Arial"/>
          <w:kern w:val="0"/>
          <w:sz w:val="22"/>
          <w:szCs w:val="22"/>
        </w:rPr>
        <w:t xml:space="preserve"> of their operation. To resolve this cultural gap, the government has established a basic plan to develop local culture since 2015, and the 2nd Basic Local Culture Promotion Plan (2020–2024) is currently being implemented. This plan aims to reduce the cultural gap between regions, develop a unique culture for each region, and improve residents’ quality of life. The core tasks of the plan are as follows: establishment of a cultural autonomy ecosystem in which citizens participate; creation of a living-based cultural environment; discovery and utilization of unique local culture; and local innovation and development through cultural values.</w:t>
      </w:r>
    </w:p>
    <w:p w14:paraId="2AA06CB3" w14:textId="4A61E9E1" w:rsidR="001917DA" w:rsidRPr="009B7E22" w:rsidRDefault="001917DA" w:rsidP="008536DF">
      <w:pPr>
        <w:spacing w:line="276" w:lineRule="auto"/>
        <w:rPr>
          <w:rFonts w:ascii="Arial" w:hAnsi="Arial" w:cs="Arial"/>
          <w:sz w:val="22"/>
          <w:szCs w:val="22"/>
        </w:rPr>
      </w:pPr>
    </w:p>
    <w:p w14:paraId="2956293E" w14:textId="282060A4" w:rsidR="006A79C0" w:rsidRPr="009B7E22" w:rsidRDefault="006A79C0"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Fonts w:ascii="Arial" w:hAnsi="Arial" w:cs="Arial"/>
          <w:sz w:val="22"/>
          <w:szCs w:val="22"/>
        </w:rPr>
        <w:t>Living SOC business</w:t>
      </w:r>
    </w:p>
    <w:p w14:paraId="60470A8A" w14:textId="0A1E425D" w:rsidR="006A79C0" w:rsidRPr="009B7E22" w:rsidRDefault="006A79C0"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sz w:val="22"/>
          <w:szCs w:val="22"/>
        </w:rPr>
        <w:t>Improvement of Regional Medical Environment</w:t>
      </w:r>
    </w:p>
    <w:p w14:paraId="7056A9D8" w14:textId="77777777" w:rsidR="006A79C0" w:rsidRPr="009B7E22" w:rsidRDefault="006A79C0" w:rsidP="008536DF">
      <w:pPr>
        <w:spacing w:line="276" w:lineRule="auto"/>
        <w:rPr>
          <w:rFonts w:ascii="Arial" w:hAnsi="Arial" w:cs="Arial"/>
          <w:sz w:val="22"/>
          <w:szCs w:val="22"/>
        </w:rPr>
      </w:pPr>
    </w:p>
    <w:p w14:paraId="6776DB4D"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During the implementation period of the 1st Master Plan for Public Health and Medical Services 2016–2020, the changes in the health and medical environment in the face of a pandemic are receiving more intensive attention due to the public nature of existing health and welfare and regional disparities. In particular, the poor conditions of local medical centers, the shortage of public medical personnel, the private-oriented medical supply, and the public concern about national university hospitals were controversial. Medical resources concentrated in large cities and metropolitan areas are serious. In 2019, Seoul had 3.1 active doctors per 1,000 population, while </w:t>
      </w:r>
      <w:proofErr w:type="spellStart"/>
      <w:r w:rsidRPr="009B7E22">
        <w:rPr>
          <w:rFonts w:ascii="Arial" w:hAnsi="Arial" w:cs="Arial"/>
          <w:kern w:val="0"/>
          <w:sz w:val="22"/>
          <w:szCs w:val="22"/>
        </w:rPr>
        <w:t>Gyeongsangbuk</w:t>
      </w:r>
      <w:proofErr w:type="spellEnd"/>
      <w:r w:rsidRPr="009B7E22">
        <w:rPr>
          <w:rFonts w:ascii="Arial" w:hAnsi="Arial" w:cs="Arial"/>
          <w:kern w:val="0"/>
          <w:sz w:val="22"/>
          <w:szCs w:val="22"/>
        </w:rPr>
        <w:t xml:space="preserve">-do </w:t>
      </w:r>
      <w:proofErr w:type="gramStart"/>
      <w:r w:rsidRPr="009B7E22">
        <w:rPr>
          <w:rFonts w:ascii="Arial" w:hAnsi="Arial" w:cs="Arial"/>
          <w:kern w:val="0"/>
          <w:sz w:val="22"/>
          <w:szCs w:val="22"/>
        </w:rPr>
        <w:t>had</w:t>
      </w:r>
      <w:proofErr w:type="gramEnd"/>
      <w:r w:rsidRPr="009B7E22">
        <w:rPr>
          <w:rFonts w:ascii="Arial" w:hAnsi="Arial" w:cs="Arial"/>
          <w:kern w:val="0"/>
          <w:sz w:val="22"/>
          <w:szCs w:val="22"/>
        </w:rPr>
        <w:t xml:space="preserve"> 1.4, and 11 cities and provinces had an average of less than 2.0. There are no emergency medical facilities in the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/-gun/-</w:t>
      </w:r>
      <w:proofErr w:type="spellStart"/>
      <w:r w:rsidRPr="009B7E22">
        <w:rPr>
          <w:rFonts w:ascii="Arial" w:hAnsi="Arial" w:cs="Arial"/>
          <w:kern w:val="0"/>
          <w:sz w:val="22"/>
          <w:szCs w:val="22"/>
        </w:rPr>
        <w:t>gu</w:t>
      </w:r>
      <w:proofErr w:type="spellEnd"/>
      <w:r w:rsidRPr="009B7E22">
        <w:rPr>
          <w:rFonts w:ascii="Arial" w:hAnsi="Arial" w:cs="Arial"/>
          <w:kern w:val="0"/>
          <w:sz w:val="22"/>
          <w:szCs w:val="22"/>
        </w:rPr>
        <w:t xml:space="preserve"> areas. Although public hospitals treat more than 80% of Covid-19 patients, the importance of public health care is further emphasized. Still, the institutional basis for resolving outdated facilities and workforce shortages in local public hospitals, such as regional medical centers, is insufficient. As of 2020, 230 public medical institutions were operated by different ministries, including 32 national, 94 special corporations, and 104 municipal and county offices, and cooperation between local health and medical institutions is insufficient. The government’s 2nd Master Plan for Public Health and Medical Services for 2021–2025 aims to strengthen the daily functions of public health care after Covid-19 and establish an overall system to prepare for health crises to practice more expanded public health care. </w:t>
      </w:r>
    </w:p>
    <w:p w14:paraId="55C815BA" w14:textId="77777777" w:rsidR="001917DA" w:rsidRPr="009B7E22" w:rsidRDefault="001917DA" w:rsidP="008536DF">
      <w:pPr>
        <w:spacing w:line="276" w:lineRule="auto"/>
        <w:rPr>
          <w:rFonts w:ascii="Arial" w:hAnsi="Arial" w:cs="Arial"/>
          <w:sz w:val="22"/>
          <w:szCs w:val="22"/>
        </w:rPr>
      </w:pPr>
    </w:p>
    <w:p w14:paraId="77F66AF7"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Under the government policy directions of local autonomy in the 1990s and the strengthening of decentralization in the 2000s, state affairs such as the Ministry of Health and Welfare, the Ministry of Gender Equality and Family, and the Ministry of Employment and Labor were transferred to the provinces, and the welfare functions of local governments were expanded. Since 2018, the government has announced the Comprehensive Plan for Autonomy and Decentralization following the Special Act on Local Autonomy and Decentralization and the Restructuring of Local Administrative </w:t>
      </w:r>
      <w:r w:rsidRPr="009B7E22">
        <w:rPr>
          <w:rFonts w:ascii="Arial" w:hAnsi="Arial" w:cs="Arial"/>
          <w:kern w:val="0"/>
          <w:sz w:val="22"/>
          <w:szCs w:val="22"/>
        </w:rPr>
        <w:lastRenderedPageBreak/>
        <w:t>Systems. The government also promotes fiscal decentralization related to state subsidy projects. Regarding state subsidies in the social welfare field, 53.5% of the total national subsidies are in the social welfare budget, and the top 10 projects account for 82.6% of the entire social welfare budget.</w:t>
      </w:r>
    </w:p>
    <w:p w14:paraId="4372833C" w14:textId="2BF68D7F" w:rsidR="001917DA" w:rsidRPr="009B7E22" w:rsidRDefault="001917DA" w:rsidP="008536DF">
      <w:pPr>
        <w:spacing w:line="276" w:lineRule="auto"/>
        <w:rPr>
          <w:rFonts w:ascii="Arial" w:hAnsi="Arial" w:cs="Arial"/>
          <w:sz w:val="22"/>
          <w:szCs w:val="22"/>
        </w:rPr>
      </w:pPr>
    </w:p>
    <w:p w14:paraId="2C9F0027" w14:textId="5766ABD2" w:rsidR="006A79C0" w:rsidRPr="009B7E22" w:rsidRDefault="006A79C0"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Rural Transportation Model Project</w:t>
      </w:r>
    </w:p>
    <w:p w14:paraId="21B9384F" w14:textId="3A238A8A" w:rsidR="006A79C0" w:rsidRPr="009B7E22" w:rsidRDefault="006A79C0"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Top 10 National Subsidy Projects in Social Welfare (2021)</w:t>
      </w:r>
    </w:p>
    <w:p w14:paraId="1B21783B" w14:textId="77777777" w:rsidR="001917DA" w:rsidRPr="009B7E22" w:rsidRDefault="001917DA" w:rsidP="008536DF">
      <w:pPr>
        <w:spacing w:line="276" w:lineRule="auto"/>
        <w:rPr>
          <w:rFonts w:ascii="Arial" w:hAnsi="Arial" w:cs="Arial"/>
          <w:sz w:val="22"/>
          <w:szCs w:val="22"/>
        </w:rPr>
      </w:pPr>
    </w:p>
    <w:p w14:paraId="2303FB61" w14:textId="77777777" w:rsidR="006A79C0" w:rsidRPr="009B7E22" w:rsidRDefault="006A79C0">
      <w:pPr>
        <w:widowControl/>
        <w:wordWrap/>
        <w:jc w:val="left"/>
        <w:rPr>
          <w:rFonts w:ascii="Arial" w:hAnsi="Arial" w:cs="Arial"/>
          <w:b/>
          <w:bCs/>
          <w:spacing w:val="-5"/>
          <w:kern w:val="0"/>
          <w:sz w:val="22"/>
          <w:szCs w:val="22"/>
        </w:rPr>
      </w:pPr>
      <w:r w:rsidRPr="009B7E22">
        <w:rPr>
          <w:rFonts w:ascii="Arial" w:hAnsi="Arial" w:cs="Arial"/>
          <w:b/>
          <w:bCs/>
          <w:spacing w:val="-5"/>
          <w:kern w:val="0"/>
          <w:sz w:val="22"/>
          <w:szCs w:val="22"/>
        </w:rPr>
        <w:br w:type="page"/>
      </w:r>
    </w:p>
    <w:p w14:paraId="6E0E2455" w14:textId="74A2C246" w:rsidR="001917DA" w:rsidRPr="009B7E22" w:rsidRDefault="001917DA" w:rsidP="008536DF">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Sustainable Development of National Territory</w:t>
      </w:r>
    </w:p>
    <w:p w14:paraId="2F94B3DC" w14:textId="0F08552C" w:rsidR="001917DA" w:rsidRPr="009B7E22" w:rsidRDefault="001917DA" w:rsidP="008536DF">
      <w:pPr>
        <w:spacing w:line="276" w:lineRule="auto"/>
        <w:rPr>
          <w:rFonts w:ascii="Arial" w:hAnsi="Arial" w:cs="Arial"/>
          <w:sz w:val="22"/>
          <w:szCs w:val="22"/>
        </w:rPr>
      </w:pPr>
    </w:p>
    <w:p w14:paraId="4DB83394" w14:textId="104F9232" w:rsidR="00A03F64" w:rsidRPr="009B7E22" w:rsidRDefault="00A03F64"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Fonts w:ascii="Arial" w:hAnsi="Arial" w:cs="Arial"/>
          <w:sz w:val="22"/>
          <w:szCs w:val="22"/>
        </w:rPr>
        <w:t>Development and Improvement of Living Conditions in Agricultural, Mountainous, and Fishing Villages</w:t>
      </w:r>
    </w:p>
    <w:p w14:paraId="3A6DDF23" w14:textId="77777777" w:rsidR="00A03F64" w:rsidRPr="009B7E22" w:rsidRDefault="00A03F64" w:rsidP="008536DF">
      <w:pPr>
        <w:spacing w:line="276" w:lineRule="auto"/>
        <w:rPr>
          <w:rFonts w:ascii="Arial" w:hAnsi="Arial" w:cs="Arial"/>
          <w:sz w:val="22"/>
          <w:szCs w:val="22"/>
        </w:rPr>
      </w:pPr>
    </w:p>
    <w:p w14:paraId="76C4D6CF"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To suppress the concentration of the population in large cities and improve the socio-economic environment of non-metropolitan areas, the government implements the General Rural Development Project, which promotes the regional development of agricultural, mountainous, and fishing villages as an axis of national balanced development. This project consists of a Rural Center Revitalization Project, a Living Condition Improvement Project, and a -Si/-Gun Competency Strengthening Project. In particular, the Rural Center Revitalization Project and the Living Condition Improvement Project, which have been carried out for at least five years, greatly contribute to the regional development of rural areas.</w:t>
      </w:r>
    </w:p>
    <w:p w14:paraId="7871C5DF"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government has carried out the Rural Revitalization Plus Project for 123 -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/-gun/-</w:t>
      </w:r>
      <w:proofErr w:type="spellStart"/>
      <w:r w:rsidRPr="009B7E22">
        <w:rPr>
          <w:rFonts w:ascii="Arial" w:hAnsi="Arial" w:cs="Arial"/>
          <w:kern w:val="0"/>
          <w:sz w:val="22"/>
          <w:szCs w:val="22"/>
        </w:rPr>
        <w:t>gu</w:t>
      </w:r>
      <w:proofErr w:type="spellEnd"/>
      <w:r w:rsidRPr="009B7E22">
        <w:rPr>
          <w:rFonts w:ascii="Arial" w:hAnsi="Arial" w:cs="Arial"/>
          <w:kern w:val="0"/>
          <w:sz w:val="22"/>
          <w:szCs w:val="22"/>
        </w:rPr>
        <w:t xml:space="preserve"> areas with rural characteristics (regions subject to the General Rural Development Project) since 2018. This project succeeded the new vitality project implemented in the mid-2000s. This project aims to nurture local resources, advance regional specialized industries through local assets and private </w:t>
      </w:r>
      <w:proofErr w:type="gramStart"/>
      <w:r w:rsidRPr="009B7E22">
        <w:rPr>
          <w:rFonts w:ascii="Arial" w:hAnsi="Arial" w:cs="Arial"/>
          <w:kern w:val="0"/>
          <w:sz w:val="22"/>
          <w:szCs w:val="22"/>
        </w:rPr>
        <w:t>organizations, and</w:t>
      </w:r>
      <w:proofErr w:type="gramEnd"/>
      <w:r w:rsidRPr="009B7E22">
        <w:rPr>
          <w:rFonts w:ascii="Arial" w:hAnsi="Arial" w:cs="Arial"/>
          <w:kern w:val="0"/>
          <w:sz w:val="22"/>
          <w:szCs w:val="22"/>
        </w:rPr>
        <w:t xml:space="preserve"> create social jobs. </w:t>
      </w:r>
    </w:p>
    <w:p w14:paraId="3FC0F3D3"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individual project period is up to four years. The government subsidizes 70% of the cost of an individual project. In 2018, 10 projects were selected, 20 in 2019, 30 in 2020, and 20 in 2021. This project allows local governments to create preliminary plans autonomously. The government selects preliminary plans, confirms the action plans through consultation, and then implements the action plans. As of 2021, the government finalized the action plans for the 2018–2019 projects.</w:t>
      </w:r>
    </w:p>
    <w:p w14:paraId="6856AA36" w14:textId="57A851AB" w:rsidR="001917DA" w:rsidRPr="009B7E22" w:rsidRDefault="001917DA" w:rsidP="008536DF">
      <w:pPr>
        <w:spacing w:line="276" w:lineRule="auto"/>
        <w:rPr>
          <w:rFonts w:ascii="Arial" w:hAnsi="Arial" w:cs="Arial"/>
          <w:sz w:val="22"/>
          <w:szCs w:val="22"/>
        </w:rPr>
      </w:pPr>
    </w:p>
    <w:p w14:paraId="6F51EE3A" w14:textId="04A70F3D" w:rsidR="00A03F64" w:rsidRPr="009B7E22" w:rsidRDefault="00A03F64"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Fonts w:ascii="Arial" w:hAnsi="Arial" w:cs="Arial"/>
          <w:sz w:val="22"/>
          <w:szCs w:val="22"/>
        </w:rPr>
        <w:t>Modification of Living Conditions in Vulnerable Areas (2021)</w:t>
      </w:r>
    </w:p>
    <w:p w14:paraId="11A05DEF" w14:textId="5F0B1793" w:rsidR="00A03F64" w:rsidRPr="009B7E22" w:rsidRDefault="00A03F64"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Rural Vitality Strongholds</w:t>
      </w:r>
    </w:p>
    <w:p w14:paraId="1CDEA17E" w14:textId="1058878D" w:rsidR="00A03F64" w:rsidRPr="009B7E22" w:rsidRDefault="00A03F64"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National Important Agricultural Heritages</w:t>
      </w:r>
    </w:p>
    <w:p w14:paraId="5116DC37" w14:textId="77777777" w:rsidR="00A03F64" w:rsidRPr="009B7E22" w:rsidRDefault="00A03F64" w:rsidP="008536DF">
      <w:pPr>
        <w:spacing w:line="276" w:lineRule="auto"/>
        <w:rPr>
          <w:rFonts w:ascii="Arial" w:hAnsi="Arial" w:cs="Arial"/>
          <w:sz w:val="22"/>
          <w:szCs w:val="22"/>
        </w:rPr>
      </w:pPr>
    </w:p>
    <w:p w14:paraId="5FCCBB2C"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The government has designated the National Important Agricultural Heritage to protect the long-lasting tangible and intangible agricultural resources since 2012. Seven criteria apply to the selection of the heritage, including historicity and continuity, livelihood maintenance, uniqueness of agricultural technology, traditional agricultural culture, unique landscape, biodiversity, and resident participation. As of 2021, the government has designated 16 heritages. Among them, five heritages, including </w:t>
      </w:r>
      <w:proofErr w:type="spellStart"/>
      <w:r w:rsidRPr="009B7E22">
        <w:rPr>
          <w:rFonts w:ascii="Arial" w:hAnsi="Arial" w:cs="Arial"/>
          <w:kern w:val="0"/>
          <w:sz w:val="22"/>
          <w:szCs w:val="22"/>
        </w:rPr>
        <w:t>Gudeuljang</w:t>
      </w:r>
      <w:proofErr w:type="spellEnd"/>
      <w:r w:rsidRPr="009B7E22">
        <w:rPr>
          <w:rFonts w:ascii="Arial" w:hAnsi="Arial" w:cs="Arial"/>
          <w:kern w:val="0"/>
          <w:sz w:val="22"/>
          <w:szCs w:val="22"/>
        </w:rPr>
        <w:t xml:space="preserve"> Rice Fields in </w:t>
      </w:r>
      <w:proofErr w:type="spellStart"/>
      <w:r w:rsidRPr="009B7E22">
        <w:rPr>
          <w:rFonts w:ascii="Arial" w:hAnsi="Arial" w:cs="Arial"/>
          <w:kern w:val="0"/>
          <w:sz w:val="22"/>
          <w:szCs w:val="22"/>
        </w:rPr>
        <w:t>Cheongsando</w:t>
      </w:r>
      <w:proofErr w:type="spellEnd"/>
      <w:r w:rsidRPr="009B7E22">
        <w:rPr>
          <w:rFonts w:ascii="Arial" w:hAnsi="Arial" w:cs="Arial"/>
          <w:kern w:val="0"/>
          <w:sz w:val="22"/>
          <w:szCs w:val="22"/>
        </w:rPr>
        <w:t xml:space="preserve"> Island, </w:t>
      </w:r>
      <w:proofErr w:type="spellStart"/>
      <w:r w:rsidRPr="009B7E22">
        <w:rPr>
          <w:rFonts w:ascii="Arial" w:hAnsi="Arial" w:cs="Arial"/>
          <w:kern w:val="0"/>
          <w:sz w:val="22"/>
          <w:szCs w:val="22"/>
        </w:rPr>
        <w:t>Batdam</w:t>
      </w:r>
      <w:proofErr w:type="spellEnd"/>
      <w:r w:rsidRPr="009B7E22">
        <w:rPr>
          <w:rFonts w:ascii="Arial" w:hAnsi="Arial" w:cs="Arial"/>
          <w:kern w:val="0"/>
          <w:sz w:val="22"/>
          <w:szCs w:val="22"/>
        </w:rPr>
        <w:t xml:space="preserve"> in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Bamboo Fields in </w:t>
      </w:r>
      <w:proofErr w:type="spellStart"/>
      <w:r w:rsidRPr="009B7E22">
        <w:rPr>
          <w:rFonts w:ascii="Arial" w:hAnsi="Arial" w:cs="Arial"/>
          <w:kern w:val="0"/>
          <w:sz w:val="22"/>
          <w:szCs w:val="22"/>
        </w:rPr>
        <w:t>Damyang</w:t>
      </w:r>
      <w:proofErr w:type="spellEnd"/>
      <w:r w:rsidRPr="009B7E22">
        <w:rPr>
          <w:rFonts w:ascii="Arial" w:hAnsi="Arial" w:cs="Arial"/>
          <w:kern w:val="0"/>
          <w:sz w:val="22"/>
          <w:szCs w:val="22"/>
        </w:rPr>
        <w:t xml:space="preserve">-gun, </w:t>
      </w:r>
      <w:proofErr w:type="spellStart"/>
      <w:r w:rsidRPr="009B7E22">
        <w:rPr>
          <w:rFonts w:ascii="Arial" w:hAnsi="Arial" w:cs="Arial"/>
          <w:kern w:val="0"/>
          <w:sz w:val="22"/>
          <w:szCs w:val="22"/>
        </w:rPr>
        <w:t>Jeollanam</w:t>
      </w:r>
      <w:proofErr w:type="spellEnd"/>
      <w:r w:rsidRPr="009B7E22">
        <w:rPr>
          <w:rFonts w:ascii="Arial" w:hAnsi="Arial" w:cs="Arial"/>
          <w:kern w:val="0"/>
          <w:sz w:val="22"/>
          <w:szCs w:val="22"/>
        </w:rPr>
        <w:t xml:space="preserve">-do, Ginseng Farming in </w:t>
      </w:r>
      <w:proofErr w:type="spellStart"/>
      <w:r w:rsidRPr="009B7E22">
        <w:rPr>
          <w:rFonts w:ascii="Arial" w:hAnsi="Arial" w:cs="Arial"/>
          <w:kern w:val="0"/>
          <w:sz w:val="22"/>
          <w:szCs w:val="22"/>
        </w:rPr>
        <w:t>Geumsan</w:t>
      </w:r>
      <w:proofErr w:type="spellEnd"/>
      <w:r w:rsidRPr="009B7E22">
        <w:rPr>
          <w:rFonts w:ascii="Arial" w:hAnsi="Arial" w:cs="Arial"/>
          <w:kern w:val="0"/>
          <w:sz w:val="22"/>
          <w:szCs w:val="22"/>
        </w:rPr>
        <w:t xml:space="preserve">-gun, Chungcheongnam-do, and Traditional Tea Farming in </w:t>
      </w:r>
      <w:proofErr w:type="spellStart"/>
      <w:r w:rsidRPr="009B7E22">
        <w:rPr>
          <w:rFonts w:ascii="Arial" w:hAnsi="Arial" w:cs="Arial"/>
          <w:kern w:val="0"/>
          <w:sz w:val="22"/>
          <w:szCs w:val="22"/>
        </w:rPr>
        <w:t>Hadong</w:t>
      </w:r>
      <w:proofErr w:type="spellEnd"/>
      <w:r w:rsidRPr="009B7E22">
        <w:rPr>
          <w:rFonts w:ascii="Arial" w:hAnsi="Arial" w:cs="Arial"/>
          <w:kern w:val="0"/>
          <w:sz w:val="22"/>
          <w:szCs w:val="22"/>
        </w:rPr>
        <w:t xml:space="preserve">-gun, </w:t>
      </w:r>
      <w:proofErr w:type="spellStart"/>
      <w:r w:rsidRPr="009B7E22">
        <w:rPr>
          <w:rFonts w:ascii="Arial" w:hAnsi="Arial" w:cs="Arial"/>
          <w:kern w:val="0"/>
          <w:sz w:val="22"/>
          <w:szCs w:val="22"/>
        </w:rPr>
        <w:t>Gyeongsangnam</w:t>
      </w:r>
      <w:proofErr w:type="spellEnd"/>
      <w:r w:rsidRPr="009B7E22">
        <w:rPr>
          <w:rFonts w:ascii="Arial" w:hAnsi="Arial" w:cs="Arial"/>
          <w:kern w:val="0"/>
          <w:sz w:val="22"/>
          <w:szCs w:val="22"/>
        </w:rPr>
        <w:t>-do, were designated as World Important Agricultural Heritage by the Food and Agriculture Organization of the United Nations (FAO).</w:t>
      </w:r>
    </w:p>
    <w:p w14:paraId="4C3573DB"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The government has implemented the Renovation of Living Condition in Vulnerable Areas Project to improve residents’ essential quality of life in vulnerable areas such as remote rural or fishing villages by improving their physical environment and revitalizing the resident community. The government will subsidize 70–80% of the project cost, up </w:t>
      </w:r>
      <w:r w:rsidRPr="009B7E22">
        <w:rPr>
          <w:rFonts w:ascii="Arial" w:hAnsi="Arial" w:cs="Arial"/>
          <w:kern w:val="0"/>
          <w:sz w:val="22"/>
          <w:szCs w:val="22"/>
        </w:rPr>
        <w:lastRenderedPageBreak/>
        <w:t>to 1.5 billion won in rural areas and 3 billion won in cities. The heads of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/-gun/-</w:t>
      </w:r>
      <w:proofErr w:type="spellStart"/>
      <w:r w:rsidRPr="009B7E22">
        <w:rPr>
          <w:rFonts w:ascii="Arial" w:hAnsi="Arial" w:cs="Arial"/>
          <w:kern w:val="0"/>
          <w:sz w:val="22"/>
          <w:szCs w:val="22"/>
        </w:rPr>
        <w:t>gu</w:t>
      </w:r>
      <w:proofErr w:type="spellEnd"/>
      <w:r w:rsidRPr="009B7E22">
        <w:rPr>
          <w:rFonts w:ascii="Arial" w:hAnsi="Arial" w:cs="Arial"/>
          <w:kern w:val="0"/>
          <w:sz w:val="22"/>
          <w:szCs w:val="22"/>
        </w:rPr>
        <w:t xml:space="preserve"> districts implement individual projects. A total of 391 rural and 136 urban villages had been selected by 2021. The target villages are selected considering the ratio of vulnerable groups, such as recipients of basic livelihoods, the percentage of houses aged 30 years or more, and the proportion of slate houses.</w:t>
      </w:r>
    </w:p>
    <w:p w14:paraId="39AA6F7A" w14:textId="7E5451F1" w:rsidR="001917DA" w:rsidRPr="009B7E22" w:rsidRDefault="001917DA" w:rsidP="008536DF">
      <w:pPr>
        <w:spacing w:line="276" w:lineRule="auto"/>
        <w:rPr>
          <w:rFonts w:ascii="Arial" w:hAnsi="Arial" w:cs="Arial"/>
          <w:sz w:val="22"/>
          <w:szCs w:val="22"/>
        </w:rPr>
      </w:pPr>
    </w:p>
    <w:p w14:paraId="03D8885C" w14:textId="0F312FF4" w:rsidR="002B7742" w:rsidRPr="009B7E22" w:rsidRDefault="002B7742"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sz w:val="22"/>
          <w:szCs w:val="22"/>
        </w:rPr>
        <w:t>Urban Regeneration</w:t>
      </w:r>
    </w:p>
    <w:p w14:paraId="3B7E9EC7" w14:textId="23C0FAF0" w:rsidR="002B7742" w:rsidRPr="009B7E22" w:rsidRDefault="002B7742" w:rsidP="008536DF">
      <w:pPr>
        <w:spacing w:line="276" w:lineRule="auto"/>
        <w:rPr>
          <w:rFonts w:ascii="Arial" w:hAnsi="Arial" w:cs="Arial"/>
          <w:sz w:val="22"/>
          <w:szCs w:val="22"/>
        </w:rPr>
      </w:pPr>
      <w:r w:rsidRPr="009B7E22">
        <w:rPr>
          <w:rFonts w:ascii="Arial" w:hAnsi="Arial" w:cs="Arial"/>
          <w:sz w:val="22"/>
          <w:szCs w:val="22"/>
        </w:rPr>
        <w:t xml:space="preserve">&lt;graph&gt; </w:t>
      </w:r>
      <w:r w:rsidRPr="009B7E22">
        <w:rPr>
          <w:rStyle w:val="A30"/>
          <w:rFonts w:ascii="Arial" w:hAnsi="Arial" w:cs="Arial"/>
          <w:sz w:val="22"/>
          <w:szCs w:val="22"/>
        </w:rPr>
        <w:t>Designation of Urban Regeneration Project</w:t>
      </w:r>
    </w:p>
    <w:p w14:paraId="63C2A1A8" w14:textId="77777777" w:rsidR="002B7742" w:rsidRPr="009B7E22" w:rsidRDefault="002B7742" w:rsidP="008536DF">
      <w:pPr>
        <w:spacing w:line="276" w:lineRule="auto"/>
        <w:rPr>
          <w:rFonts w:ascii="Arial" w:hAnsi="Arial" w:cs="Arial"/>
          <w:sz w:val="22"/>
          <w:szCs w:val="22"/>
        </w:rPr>
      </w:pPr>
    </w:p>
    <w:p w14:paraId="5A8369C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Urban regeneration policy was first introduced in the Special Act on Promotion of and Support for Urban Regeneration (Urban Regeneration Act) in 2013. It provided a legal foundation for the vitalization of backward regions at the national level. This Act defines urban regeneration as “economic, social, physical, and environmental revitalization of a city which has declined due to depopulation, change of industrial structure, urban sprawl, deterioration of the dwelling conditions, and others by strengthening local capacity, introducing and creating new functions, and utilizing local resources.” Unlike existing urban redevelopment projects that mainly change the physical environment through the designation of redevelopment zones, the urban regeneration project aims to comprehensively revitalize backward regions physically, socially, and economically by utilizing local resources.</w:t>
      </w:r>
    </w:p>
    <w:p w14:paraId="7E7D8B38" w14:textId="77777777" w:rsidR="001917DA" w:rsidRPr="009B7E22" w:rsidRDefault="001917DA" w:rsidP="008536DF">
      <w:pPr>
        <w:spacing w:line="276" w:lineRule="auto"/>
        <w:rPr>
          <w:rFonts w:ascii="Arial" w:hAnsi="Arial" w:cs="Arial"/>
          <w:sz w:val="22"/>
          <w:szCs w:val="22"/>
        </w:rPr>
      </w:pPr>
    </w:p>
    <w:p w14:paraId="3152EFB0"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From 2013, when the Urban Regeneration Act was enacted, to 2017, urban regeneration projects were carried out in two types: the urban economy-based type and the neighborhood regeneration type. The urban economy-based type is an integrated regeneration project that links backward regions with the national core infrastructure, such as industrial complexes, ports, airports, and railroads. The neighborhood regeneration type is a project for improving the living environment in neighborhood units, upgrading infrastructure, revitalizing communities, and promoting the alley economy. The scale of this project is smaller than the former. The government launched 13 urban regeneration pilot projects (2 urban economy-based types, 11 neighborhood regeneration types) in May 2014 and designated 33 urban regeneration project districts in April 2016 (5 urban economy-based types, 28 neighborhood regeneration types). </w:t>
      </w:r>
    </w:p>
    <w:p w14:paraId="55C1EEA8"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government selects backward regions based on declining indicators regarding the demographic, social, economic, and physical environments. As of February 2014, 2,262 (65%) of the 3,479 -</w:t>
      </w:r>
      <w:proofErr w:type="spellStart"/>
      <w:r w:rsidRPr="009B7E22">
        <w:rPr>
          <w:rFonts w:ascii="Arial" w:hAnsi="Arial" w:cs="Arial"/>
          <w:spacing w:val="-2"/>
          <w:kern w:val="0"/>
          <w:sz w:val="22"/>
          <w:szCs w:val="22"/>
        </w:rPr>
        <w:t>eup</w:t>
      </w:r>
      <w:proofErr w:type="spellEnd"/>
      <w:r w:rsidRPr="009B7E22">
        <w:rPr>
          <w:rFonts w:ascii="Arial" w:hAnsi="Arial" w:cs="Arial"/>
          <w:spacing w:val="-2"/>
          <w:kern w:val="0"/>
          <w:sz w:val="22"/>
          <w:szCs w:val="22"/>
        </w:rPr>
        <w:t>/-</w:t>
      </w:r>
      <w:proofErr w:type="spellStart"/>
      <w:r w:rsidRPr="009B7E22">
        <w:rPr>
          <w:rFonts w:ascii="Arial" w:hAnsi="Arial" w:cs="Arial"/>
          <w:spacing w:val="-2"/>
          <w:kern w:val="0"/>
          <w:sz w:val="22"/>
          <w:szCs w:val="22"/>
        </w:rPr>
        <w:t>myeon</w:t>
      </w:r>
      <w:proofErr w:type="spellEnd"/>
      <w:r w:rsidRPr="009B7E22">
        <w:rPr>
          <w:rFonts w:ascii="Arial" w:hAnsi="Arial" w:cs="Arial"/>
          <w:spacing w:val="-2"/>
          <w:kern w:val="0"/>
          <w:sz w:val="22"/>
          <w:szCs w:val="22"/>
        </w:rPr>
        <w:t>/-dong areas across the country were backward regions.</w:t>
      </w:r>
    </w:p>
    <w:p w14:paraId="0BED73F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In July 2017, the Urban Regeneration Project was included in the 100 national tasks, and it was reorganized into the Urban Regeneration New Deal Project. In March 2018, the government announced the Urban Regeneration New Deal Roadmap, containing strategies for the next five years. </w:t>
      </w:r>
    </w:p>
    <w:p w14:paraId="2F863813"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This roadmap consists of three strategies, including innovation of urban space, revitalization of urban regeneration economy, and initiative of residents and regions, and five tasks, including reorganization of the residential environment of old low-rise residential areas, the establishment of the old downtown as an innovation base, the vitalization of urban regeneration economic organization and the introduction of public participation, the establishment of grassroots urban regeneration governance, and </w:t>
      </w:r>
      <w:r w:rsidRPr="009B7E22">
        <w:rPr>
          <w:rFonts w:ascii="Arial" w:hAnsi="Arial" w:cs="Arial"/>
          <w:kern w:val="0"/>
          <w:sz w:val="22"/>
          <w:szCs w:val="22"/>
        </w:rPr>
        <w:lastRenderedPageBreak/>
        <w:t>preemptive response to the evictions of merchants. As the project was reorganized, the existing two types of projects were subdivided into five types: Neighborhood Restoration Type (small-scale residential), Residential Support Type (Residential), General Neighborhood Type (Semi-Residential), Downtown Type (Commercial), and Economy-Based Type (Industrial). Regarding the selection of target regions, the central government and public enterprises appoint the Downtown Type and Economic-Based Type target regions, and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/-do districts select the remaining types. Accordingly, 68 sites were selected as a target area for the Urban Regeneration New Deal pilot project in December 2017, 99 sites in 2018, 116 sites in 2019, 117 sites in 2020, and 87 sites in 2021.</w:t>
      </w:r>
    </w:p>
    <w:p w14:paraId="4B2201F9"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Various stakeholders participate as the urban regeneration project emphasizes collaboration between the government, residents, and experts. The central government establishes policies and secures the budget. Local governments carry out action projects. To this end, local governments should establish the Local Urban Regeneration Committee and operate the Urban Regeneration Organization and the Urban Regeneration Support Center. In particular, the Urban Regeneration Support Center is an organization that oversees and operates the project. As of December 2021, a total of 408 urban regeneration support centers are in operation.</w:t>
      </w:r>
    </w:p>
    <w:p w14:paraId="72B29BD3" w14:textId="77777777" w:rsidR="001917DA" w:rsidRPr="009B7E22" w:rsidRDefault="001917DA" w:rsidP="008536DF">
      <w:pPr>
        <w:spacing w:line="276" w:lineRule="auto"/>
        <w:rPr>
          <w:rFonts w:ascii="Arial" w:hAnsi="Arial" w:cs="Arial"/>
          <w:sz w:val="22"/>
          <w:szCs w:val="22"/>
        </w:rPr>
      </w:pPr>
    </w:p>
    <w:p w14:paraId="4910DCD8" w14:textId="77777777" w:rsidR="001917DA" w:rsidRPr="009B7E22" w:rsidRDefault="001917DA" w:rsidP="008536DF">
      <w:pPr>
        <w:spacing w:line="276" w:lineRule="auto"/>
        <w:rPr>
          <w:rFonts w:ascii="Arial" w:hAnsi="Arial" w:cs="Arial"/>
          <w:sz w:val="22"/>
          <w:szCs w:val="22"/>
        </w:rPr>
      </w:pPr>
    </w:p>
    <w:p w14:paraId="0BF2B955" w14:textId="77777777" w:rsidR="002B7742" w:rsidRPr="009B7E22" w:rsidRDefault="002B7742">
      <w:pPr>
        <w:widowControl/>
        <w:wordWrap/>
        <w:jc w:val="left"/>
        <w:rPr>
          <w:rFonts w:ascii="Arial" w:hAnsi="Arial" w:cs="Arial"/>
          <w:b/>
          <w:bCs/>
          <w:spacing w:val="-5"/>
          <w:kern w:val="0"/>
          <w:sz w:val="22"/>
          <w:szCs w:val="22"/>
        </w:rPr>
      </w:pPr>
      <w:r w:rsidRPr="009B7E22">
        <w:rPr>
          <w:rFonts w:ascii="Arial" w:hAnsi="Arial" w:cs="Arial"/>
          <w:b/>
          <w:bCs/>
          <w:spacing w:val="-5"/>
          <w:kern w:val="0"/>
          <w:sz w:val="22"/>
          <w:szCs w:val="22"/>
        </w:rPr>
        <w:br w:type="page"/>
      </w:r>
    </w:p>
    <w:p w14:paraId="26F53997" w14:textId="3ECE507E" w:rsidR="001917DA" w:rsidRPr="009B7E22" w:rsidRDefault="001917DA" w:rsidP="008536DF">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Regional Innovative Systems</w:t>
      </w:r>
    </w:p>
    <w:p w14:paraId="28AF17A5" w14:textId="22EAA364" w:rsidR="001917DA" w:rsidRPr="009B7E22" w:rsidRDefault="001917DA" w:rsidP="008536DF">
      <w:pPr>
        <w:spacing w:line="276" w:lineRule="auto"/>
        <w:rPr>
          <w:rFonts w:ascii="Arial" w:hAnsi="Arial" w:cs="Arial"/>
          <w:sz w:val="22"/>
          <w:szCs w:val="22"/>
        </w:rPr>
      </w:pPr>
    </w:p>
    <w:p w14:paraId="1E8AE7EE" w14:textId="72F4415C" w:rsidR="00700E9C" w:rsidRPr="009B7E22" w:rsidRDefault="00700E9C" w:rsidP="008536DF">
      <w:pPr>
        <w:spacing w:line="276" w:lineRule="auto"/>
        <w:rPr>
          <w:rFonts w:ascii="Arial" w:hAnsi="Arial" w:cs="Arial"/>
          <w:sz w:val="22"/>
          <w:szCs w:val="22"/>
        </w:rPr>
      </w:pPr>
      <w:r w:rsidRPr="009B7E22">
        <w:rPr>
          <w:rFonts w:ascii="Arial" w:hAnsi="Arial" w:cs="Arial"/>
          <w:sz w:val="22"/>
          <w:szCs w:val="22"/>
        </w:rPr>
        <w:t xml:space="preserve">&lt;drawing&gt; </w:t>
      </w:r>
      <w:r w:rsidRPr="009B7E22">
        <w:rPr>
          <w:rStyle w:val="A30"/>
          <w:rFonts w:ascii="Arial" w:hAnsi="Arial" w:cs="Arial"/>
          <w:color w:val="auto"/>
          <w:sz w:val="22"/>
          <w:szCs w:val="22"/>
        </w:rPr>
        <w:t>Major Industrial Development Network</w:t>
      </w:r>
    </w:p>
    <w:p w14:paraId="0D1C0EFB" w14:textId="5A56933B" w:rsidR="00700E9C" w:rsidRPr="009B7E22" w:rsidRDefault="00700E9C"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Fonts w:ascii="Arial" w:hAnsi="Arial" w:cs="Arial"/>
          <w:sz w:val="22"/>
          <w:szCs w:val="22"/>
        </w:rPr>
        <w:t>Regional Industrial Development Policy Program</w:t>
      </w:r>
    </w:p>
    <w:p w14:paraId="6DA9397F" w14:textId="77777777" w:rsidR="00700E9C" w:rsidRPr="009B7E22" w:rsidRDefault="00700E9C" w:rsidP="00700E9C">
      <w:pPr>
        <w:pStyle w:val="Default"/>
        <w:rPr>
          <w:rFonts w:ascii="Arial" w:eastAsia="RFXWFE+NanumGothicOTFBold" w:hAnsi="Arial" w:cs="Arial"/>
          <w:color w:val="auto"/>
          <w:sz w:val="22"/>
          <w:szCs w:val="22"/>
        </w:rPr>
      </w:pPr>
      <w:r w:rsidRPr="009B7E22">
        <w:rPr>
          <w:rFonts w:ascii="Arial" w:hAnsi="Arial" w:cs="Arial"/>
          <w:color w:val="auto"/>
          <w:sz w:val="22"/>
          <w:szCs w:val="22"/>
        </w:rPr>
        <w:t xml:space="preserve">&lt;drawing&gt; </w:t>
      </w:r>
      <w:r w:rsidRPr="009B7E22">
        <w:rPr>
          <w:rFonts w:ascii="Arial" w:eastAsia="RFXWFE+NanumGothicOTFBold" w:hAnsi="Arial" w:cs="Arial"/>
          <w:color w:val="auto"/>
          <w:sz w:val="22"/>
          <w:szCs w:val="22"/>
        </w:rPr>
        <w:t xml:space="preserve">A Youth-Friendly Leading Industrial Complex </w:t>
      </w:r>
    </w:p>
    <w:p w14:paraId="66C43D69" w14:textId="5CD618E8" w:rsidR="00700E9C" w:rsidRPr="009B7E22" w:rsidRDefault="00700E9C"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Fonts w:ascii="Arial" w:hAnsi="Arial" w:cs="Arial"/>
          <w:sz w:val="22"/>
          <w:szCs w:val="22"/>
        </w:rPr>
        <w:t>Support for Leading Industrial Complexes from Ministries</w:t>
      </w:r>
    </w:p>
    <w:p w14:paraId="4A2834AE" w14:textId="77777777" w:rsidR="00700E9C" w:rsidRPr="009B7E22" w:rsidRDefault="00700E9C" w:rsidP="008536DF">
      <w:pPr>
        <w:spacing w:line="276" w:lineRule="auto"/>
        <w:rPr>
          <w:rFonts w:ascii="Arial" w:hAnsi="Arial" w:cs="Arial"/>
          <w:sz w:val="22"/>
          <w:szCs w:val="22"/>
        </w:rPr>
      </w:pPr>
    </w:p>
    <w:p w14:paraId="602ADAD9"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The government promoted the Regional Revitalization Project as an economic recovery and vitality plan to restore industrial ecosystems in the regions where the manufacturing economic slowdown was evident. Accordingly, in December 2018, the Ministry of Trade, Industry, and Energy selected 14 target areas for regional revitalization projects located in </w:t>
      </w:r>
      <w:proofErr w:type="spellStart"/>
      <w:r w:rsidRPr="009B7E22">
        <w:rPr>
          <w:rFonts w:ascii="Arial" w:hAnsi="Arial" w:cs="Arial"/>
          <w:kern w:val="0"/>
          <w:sz w:val="22"/>
          <w:szCs w:val="22"/>
        </w:rPr>
        <w:t>Jeollabuk</w:t>
      </w:r>
      <w:proofErr w:type="spellEnd"/>
      <w:r w:rsidRPr="009B7E22">
        <w:rPr>
          <w:rFonts w:ascii="Arial" w:hAnsi="Arial" w:cs="Arial"/>
          <w:kern w:val="0"/>
          <w:sz w:val="22"/>
          <w:szCs w:val="22"/>
        </w:rPr>
        <w:t xml:space="preserve">-do, </w:t>
      </w:r>
      <w:proofErr w:type="spellStart"/>
      <w:r w:rsidRPr="009B7E22">
        <w:rPr>
          <w:rFonts w:ascii="Arial" w:hAnsi="Arial" w:cs="Arial"/>
          <w:kern w:val="0"/>
          <w:sz w:val="22"/>
          <w:szCs w:val="22"/>
        </w:rPr>
        <w:t>Jeollanam</w:t>
      </w:r>
      <w:proofErr w:type="spellEnd"/>
      <w:r w:rsidRPr="009B7E22">
        <w:rPr>
          <w:rFonts w:ascii="Arial" w:hAnsi="Arial" w:cs="Arial"/>
          <w:kern w:val="0"/>
          <w:sz w:val="22"/>
          <w:szCs w:val="22"/>
        </w:rPr>
        <w:t xml:space="preserve">-do, Gwangju, Busan, Daegu, </w:t>
      </w:r>
      <w:proofErr w:type="spellStart"/>
      <w:r w:rsidRPr="009B7E22">
        <w:rPr>
          <w:rFonts w:ascii="Arial" w:hAnsi="Arial" w:cs="Arial"/>
          <w:kern w:val="0"/>
          <w:sz w:val="22"/>
          <w:szCs w:val="22"/>
        </w:rPr>
        <w:t>Gyeongsangbuk</w:t>
      </w:r>
      <w:proofErr w:type="spellEnd"/>
      <w:r w:rsidRPr="009B7E22">
        <w:rPr>
          <w:rFonts w:ascii="Arial" w:hAnsi="Arial" w:cs="Arial"/>
          <w:kern w:val="0"/>
          <w:sz w:val="22"/>
          <w:szCs w:val="22"/>
        </w:rPr>
        <w:t xml:space="preserve">-do, and </w:t>
      </w:r>
      <w:proofErr w:type="spellStart"/>
      <w:r w:rsidRPr="009B7E22">
        <w:rPr>
          <w:rFonts w:ascii="Arial" w:hAnsi="Arial" w:cs="Arial"/>
          <w:kern w:val="0"/>
          <w:sz w:val="22"/>
          <w:szCs w:val="22"/>
        </w:rPr>
        <w:t>Gyeongsangnam</w:t>
      </w:r>
      <w:proofErr w:type="spellEnd"/>
      <w:r w:rsidRPr="009B7E22">
        <w:rPr>
          <w:rFonts w:ascii="Arial" w:hAnsi="Arial" w:cs="Arial"/>
          <w:kern w:val="0"/>
          <w:sz w:val="22"/>
          <w:szCs w:val="22"/>
        </w:rPr>
        <w:t>-do.</w:t>
      </w:r>
    </w:p>
    <w:p w14:paraId="671AA2BA" w14:textId="1B3EC480" w:rsidR="001917DA" w:rsidRPr="009B7E22" w:rsidRDefault="001917DA" w:rsidP="008536DF">
      <w:pPr>
        <w:spacing w:line="276" w:lineRule="auto"/>
        <w:rPr>
          <w:rFonts w:ascii="Arial" w:hAnsi="Arial" w:cs="Arial"/>
          <w:sz w:val="22"/>
          <w:szCs w:val="22"/>
        </w:rPr>
      </w:pPr>
    </w:p>
    <w:p w14:paraId="52052DE1" w14:textId="70018555"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sz w:val="22"/>
          <w:szCs w:val="22"/>
        </w:rPr>
        <w:t>National Innovation Cluster</w:t>
      </w:r>
    </w:p>
    <w:p w14:paraId="2E505349" w14:textId="6FB9130C"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National Innovation Cluster and Regional Main Industries</w:t>
      </w:r>
    </w:p>
    <w:p w14:paraId="5EF1DAEE" w14:textId="77777777" w:rsidR="00C9471E" w:rsidRPr="009B7E22" w:rsidRDefault="00C9471E" w:rsidP="008536DF">
      <w:pPr>
        <w:spacing w:line="276" w:lineRule="auto"/>
        <w:rPr>
          <w:rFonts w:ascii="Arial" w:hAnsi="Arial" w:cs="Arial"/>
          <w:sz w:val="22"/>
          <w:szCs w:val="22"/>
        </w:rPr>
      </w:pPr>
    </w:p>
    <w:p w14:paraId="03E1A8FE"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Since 2018, the government has conducted the National Innovation Cluster Project in 14 -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/-do districts to build innovation bases close to industrial and research facilities and hinterland cities. The cluster is designated with a total area of 15 km</w:t>
      </w:r>
      <w:r w:rsidRPr="009B7E22">
        <w:rPr>
          <w:rFonts w:ascii="Arial" w:hAnsi="Arial" w:cs="Arial"/>
          <w:kern w:val="0"/>
          <w:sz w:val="22"/>
          <w:szCs w:val="22"/>
          <w:vertAlign w:val="superscript"/>
        </w:rPr>
        <w:t>2</w:t>
      </w:r>
      <w:r w:rsidRPr="009B7E22">
        <w:rPr>
          <w:rFonts w:ascii="Arial" w:hAnsi="Arial" w:cs="Arial"/>
          <w:kern w:val="0"/>
          <w:sz w:val="22"/>
          <w:szCs w:val="22"/>
        </w:rPr>
        <w:t xml:space="preserve"> within a radius of 20 km. </w:t>
      </w:r>
      <w:proofErr w:type="gramStart"/>
      <w:r w:rsidRPr="009B7E22">
        <w:rPr>
          <w:rFonts w:ascii="Arial" w:hAnsi="Arial" w:cs="Arial"/>
          <w:kern w:val="0"/>
          <w:sz w:val="22"/>
          <w:szCs w:val="22"/>
        </w:rPr>
        <w:t>In order to</w:t>
      </w:r>
      <w:proofErr w:type="gramEnd"/>
      <w:r w:rsidRPr="009B7E22">
        <w:rPr>
          <w:rFonts w:ascii="Arial" w:hAnsi="Arial" w:cs="Arial"/>
          <w:kern w:val="0"/>
          <w:sz w:val="22"/>
          <w:szCs w:val="22"/>
        </w:rPr>
        <w:t xml:space="preserve"> maintain geographical proximity, the National Innovation Cluster is divided into R&amp;D projects that include tasks designated by the government and tasks proposed by local companies, and non-R&amp;D projects that reflect regional conditions and demands, such as investment attraction and global cooperation. In particular, the project aims to attract companies from the Seoul Metropolitan Area to innovation clusters and establish a regional production environment linked with an innovation city. In accordance with the “Regional Balanced New Deal” policy, the government will support 48 regional key industries in 14 -</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/-do districts designated as national innovation clusters for five years from 2021 to 2025.</w:t>
      </w:r>
    </w:p>
    <w:p w14:paraId="031CCF93"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youth-friendly leading industrial complex, promoted since 2018, aims to improve the working and residential environments and build a flexible industrial complex that allows support organizations to move into the industrial complex. The Ministry of Trade, Industry and Energy supports the Knowledge Industry Center (formerly apartment-type factories) and R&amp;D. The Ministry of Land, Infrastructure and Transport maintains roads and parking lots. The Ministry of SMEs and Startups offers smart factories. And the Ministry of Employment and Labor provides dormitories and commuter buses. As such, the government provides integrated policy support tailored to the diverse needs of industrial complexes.</w:t>
      </w:r>
    </w:p>
    <w:p w14:paraId="0353EFD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Social Economy Innovation Town is a project that supports the establishment of human and material bases for collaboration, networking, and innovation in the social economy from 2019. It aims to establish an integrated support system for social economy enterprises by integrating various support organizations such as social economy support centers, councils, and solidarity meetings. As a subsidy project for local governments, the government supports design costs, construction costs, equipment construction costs, and facilities.</w:t>
      </w:r>
    </w:p>
    <w:p w14:paraId="6E4E188E" w14:textId="77777777" w:rsidR="001917DA" w:rsidRPr="009B7E22" w:rsidRDefault="001917DA" w:rsidP="008536DF">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Innovation City</w:t>
      </w:r>
    </w:p>
    <w:p w14:paraId="4510F5E6" w14:textId="261FBB08" w:rsidR="001917DA" w:rsidRPr="009B7E22" w:rsidRDefault="001917DA" w:rsidP="008536DF">
      <w:pPr>
        <w:spacing w:line="276" w:lineRule="auto"/>
        <w:rPr>
          <w:rFonts w:ascii="Arial" w:hAnsi="Arial" w:cs="Arial"/>
          <w:sz w:val="22"/>
          <w:szCs w:val="22"/>
        </w:rPr>
      </w:pPr>
    </w:p>
    <w:p w14:paraId="2A56EC03" w14:textId="487645A3"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sz w:val="22"/>
          <w:szCs w:val="22"/>
        </w:rPr>
        <w:t>Distribution of Innovation Cities and Relocation of Public Institutions</w:t>
      </w:r>
    </w:p>
    <w:p w14:paraId="64BA5BCC" w14:textId="2E056181"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&lt;table&gt; Innovation City</w:t>
      </w:r>
    </w:p>
    <w:p w14:paraId="00110326" w14:textId="36C7A6F6"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Style w:val="A30"/>
          <w:rFonts w:ascii="Arial" w:hAnsi="Arial" w:cs="Arial"/>
          <w:sz w:val="22"/>
          <w:szCs w:val="22"/>
        </w:rPr>
        <w:t>The Construction of Innovation Cities and the Second Phase Development Plan</w:t>
      </w:r>
    </w:p>
    <w:p w14:paraId="6554EC6C" w14:textId="5090CC67" w:rsidR="00C9471E" w:rsidRPr="009B7E22" w:rsidRDefault="00C9471E" w:rsidP="008536DF">
      <w:pPr>
        <w:spacing w:line="276" w:lineRule="auto"/>
        <w:rPr>
          <w:rFonts w:ascii="Arial" w:hAnsi="Arial" w:cs="Arial"/>
          <w:sz w:val="22"/>
          <w:szCs w:val="22"/>
        </w:rPr>
      </w:pPr>
      <w:r w:rsidRPr="009B7E22">
        <w:rPr>
          <w:rFonts w:ascii="Arial" w:hAnsi="Arial" w:cs="Arial"/>
          <w:sz w:val="22"/>
          <w:szCs w:val="22"/>
        </w:rPr>
        <w:t xml:space="preserve">&lt;table&gt; </w:t>
      </w:r>
      <w:r w:rsidR="00FA4F14" w:rsidRPr="009B7E22">
        <w:rPr>
          <w:rStyle w:val="A30"/>
          <w:rFonts w:ascii="Arial" w:hAnsi="Arial" w:cs="Arial"/>
          <w:sz w:val="22"/>
          <w:szCs w:val="22"/>
        </w:rPr>
        <w:t>Transfer of Public Institutions to Innovation Cities</w:t>
      </w:r>
    </w:p>
    <w:p w14:paraId="02122D78" w14:textId="77777777" w:rsidR="00C9471E" w:rsidRPr="009B7E22" w:rsidRDefault="00C9471E" w:rsidP="008536DF">
      <w:pPr>
        <w:spacing w:line="276" w:lineRule="auto"/>
        <w:rPr>
          <w:rFonts w:ascii="Arial" w:hAnsi="Arial" w:cs="Arial"/>
          <w:sz w:val="22"/>
          <w:szCs w:val="22"/>
        </w:rPr>
      </w:pPr>
    </w:p>
    <w:p w14:paraId="36B64B34"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Balanced National Development Plan, which began in 2004 with the Special Act on Balanced National Development, made the central government agency’s relocation a major axis of its development strategy. In 2005, the Committee for Balanced National Development divided the locations where central government agencies relocated into the Innovation District, located in an existing city, and the Innovation City, newly built. In that year, the committee decided on the locations of 10 innovation cities.</w:t>
      </w:r>
    </w:p>
    <w:p w14:paraId="0A6FCAC8" w14:textId="2C595CCB" w:rsidR="001917DA" w:rsidRPr="009B7E22" w:rsidRDefault="001917DA" w:rsidP="008536DF">
      <w:pPr>
        <w:spacing w:line="276" w:lineRule="auto"/>
        <w:rPr>
          <w:rFonts w:ascii="Arial" w:hAnsi="Arial" w:cs="Arial"/>
          <w:sz w:val="22"/>
          <w:szCs w:val="22"/>
        </w:rPr>
      </w:pPr>
    </w:p>
    <w:p w14:paraId="7B499303" w14:textId="0BC8B75C"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sz w:val="22"/>
          <w:szCs w:val="22"/>
        </w:rPr>
        <w:t>Spatial Characteristics of Innovation Cities</w:t>
      </w:r>
    </w:p>
    <w:p w14:paraId="377DF668" w14:textId="77777777" w:rsidR="00FA4F14" w:rsidRPr="009B7E22" w:rsidRDefault="00FA4F14" w:rsidP="008536DF">
      <w:pPr>
        <w:spacing w:line="276" w:lineRule="auto"/>
        <w:rPr>
          <w:rFonts w:ascii="Arial" w:hAnsi="Arial" w:cs="Arial"/>
          <w:sz w:val="22"/>
          <w:szCs w:val="22"/>
        </w:rPr>
      </w:pPr>
    </w:p>
    <w:p w14:paraId="7DC319AB"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 xml:space="preserve">In 2006, six districts (Gangwon-do, </w:t>
      </w:r>
      <w:proofErr w:type="spellStart"/>
      <w:r w:rsidRPr="009B7E22">
        <w:rPr>
          <w:rFonts w:ascii="Arial" w:hAnsi="Arial" w:cs="Arial"/>
          <w:spacing w:val="2"/>
          <w:kern w:val="0"/>
          <w:sz w:val="22"/>
          <w:szCs w:val="22"/>
        </w:rPr>
        <w:t>Chungcheongbuk</w:t>
      </w:r>
      <w:proofErr w:type="spellEnd"/>
      <w:r w:rsidRPr="009B7E22">
        <w:rPr>
          <w:rFonts w:ascii="Arial" w:hAnsi="Arial" w:cs="Arial"/>
          <w:spacing w:val="2"/>
          <w:kern w:val="0"/>
          <w:sz w:val="22"/>
          <w:szCs w:val="22"/>
        </w:rPr>
        <w:t xml:space="preserve">-do, </w:t>
      </w:r>
      <w:proofErr w:type="spellStart"/>
      <w:r w:rsidRPr="009B7E22">
        <w:rPr>
          <w:rFonts w:ascii="Arial" w:hAnsi="Arial" w:cs="Arial"/>
          <w:spacing w:val="2"/>
          <w:kern w:val="0"/>
          <w:sz w:val="22"/>
          <w:szCs w:val="22"/>
        </w:rPr>
        <w:t>Gyeongsangbuk</w:t>
      </w:r>
      <w:proofErr w:type="spellEnd"/>
      <w:r w:rsidRPr="009B7E22">
        <w:rPr>
          <w:rFonts w:ascii="Arial" w:hAnsi="Arial" w:cs="Arial"/>
          <w:spacing w:val="2"/>
          <w:kern w:val="0"/>
          <w:sz w:val="22"/>
          <w:szCs w:val="22"/>
        </w:rPr>
        <w:t xml:space="preserve">-do, </w:t>
      </w:r>
      <w:proofErr w:type="spellStart"/>
      <w:r w:rsidRPr="009B7E22">
        <w:rPr>
          <w:rFonts w:ascii="Arial" w:hAnsi="Arial" w:cs="Arial"/>
          <w:spacing w:val="2"/>
          <w:kern w:val="0"/>
          <w:sz w:val="22"/>
          <w:szCs w:val="22"/>
        </w:rPr>
        <w:t>Gyeongsangnam</w:t>
      </w:r>
      <w:proofErr w:type="spellEnd"/>
      <w:r w:rsidRPr="009B7E22">
        <w:rPr>
          <w:rFonts w:ascii="Arial" w:hAnsi="Arial" w:cs="Arial"/>
          <w:spacing w:val="2"/>
          <w:kern w:val="0"/>
          <w:sz w:val="22"/>
          <w:szCs w:val="22"/>
        </w:rPr>
        <w:t>-do, Gwangju-</w:t>
      </w:r>
      <w:proofErr w:type="spellStart"/>
      <w:r w:rsidRPr="009B7E22">
        <w:rPr>
          <w:rFonts w:ascii="Arial" w:hAnsi="Arial" w:cs="Arial"/>
          <w:spacing w:val="2"/>
          <w:kern w:val="0"/>
          <w:sz w:val="22"/>
          <w:szCs w:val="22"/>
        </w:rPr>
        <w:t>Jeollanam</w:t>
      </w:r>
      <w:proofErr w:type="spellEnd"/>
      <w:r w:rsidRPr="009B7E22">
        <w:rPr>
          <w:rFonts w:ascii="Arial" w:hAnsi="Arial" w:cs="Arial"/>
          <w:spacing w:val="2"/>
          <w:kern w:val="0"/>
          <w:sz w:val="22"/>
          <w:szCs w:val="22"/>
        </w:rPr>
        <w:t xml:space="preserve">-do, and </w:t>
      </w:r>
      <w:proofErr w:type="spellStart"/>
      <w:r w:rsidRPr="009B7E22">
        <w:rPr>
          <w:rFonts w:ascii="Arial" w:hAnsi="Arial" w:cs="Arial"/>
          <w:spacing w:val="2"/>
          <w:kern w:val="0"/>
          <w:sz w:val="22"/>
          <w:szCs w:val="22"/>
        </w:rPr>
        <w:t>Jeollabuk</w:t>
      </w:r>
      <w:proofErr w:type="spellEnd"/>
      <w:r w:rsidRPr="009B7E22">
        <w:rPr>
          <w:rFonts w:ascii="Arial" w:hAnsi="Arial" w:cs="Arial"/>
          <w:spacing w:val="2"/>
          <w:kern w:val="0"/>
          <w:sz w:val="22"/>
          <w:szCs w:val="22"/>
        </w:rPr>
        <w:t>-do) were designated for the construction of innovation cities in accordance with the Housing Site Development Promotion Act. It was decided to develop Daegu and Ulsan Innovation Cities in the newly developed districts within the city. With the enactment of the Innovation City Act in 2007, ten Innovation City projects were in full swing.</w:t>
      </w:r>
    </w:p>
    <w:p w14:paraId="40BCAC1C"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construction of an Innovation City for decentralization and balanced development was carried out with the agreement of the central and local governments. On May 27, 2005, the Government-Local Basic Agreement on Innovation City Construction was signed, and site selection committees for each province were formed. The Special Act on the Construction and Support of Innovation Cities (the Innovation City Act) also allowed national institutions, local governments, government-invested institutions, and local public enterprises to propose the designation of a planned Innovation City development district. The Innovation City, carried out through consultation between the central and local governments, was Korea’s first regional development plan that considered the public institution (entity) relocation plan, the city construction plan, and the regional development after the city was built.</w:t>
      </w:r>
    </w:p>
    <w:p w14:paraId="212372BC"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spacing w:val="2"/>
          <w:kern w:val="0"/>
          <w:sz w:val="22"/>
          <w:szCs w:val="22"/>
        </w:rPr>
        <w:t>The Innovation City Season 2 started after the relocation of public institutions was completed in the 2010s. It is a regional development paradigm that combines the infrastructure construction and settlement environment improvement of the Innovation Cities with the local industrial ecosystem. The government announced the 2018 Innovation City Comprehensive Development Plan after establishing the Innovation City’s specialized development strategy in connection with the regional industrial development strategy encompassing the innovative city. </w:t>
      </w:r>
    </w:p>
    <w:p w14:paraId="67F5517D" w14:textId="77777777" w:rsidR="001917DA" w:rsidRPr="009B7E22" w:rsidRDefault="001917DA" w:rsidP="008536DF">
      <w:pPr>
        <w:spacing w:line="276" w:lineRule="auto"/>
        <w:rPr>
          <w:rFonts w:ascii="Arial" w:hAnsi="Arial" w:cs="Arial"/>
          <w:sz w:val="22"/>
          <w:szCs w:val="22"/>
        </w:rPr>
      </w:pPr>
    </w:p>
    <w:p w14:paraId="49441548" w14:textId="77777777" w:rsidR="001917DA" w:rsidRPr="009B7E22" w:rsidRDefault="001917DA" w:rsidP="008536DF">
      <w:pPr>
        <w:spacing w:line="276" w:lineRule="auto"/>
        <w:rPr>
          <w:rFonts w:ascii="Arial" w:hAnsi="Arial" w:cs="Arial"/>
          <w:sz w:val="22"/>
          <w:szCs w:val="22"/>
        </w:rPr>
      </w:pPr>
    </w:p>
    <w:p w14:paraId="7CD98A99" w14:textId="77777777" w:rsidR="00FA4F14" w:rsidRPr="009B7E22" w:rsidRDefault="00FA4F14">
      <w:pPr>
        <w:widowControl/>
        <w:wordWrap/>
        <w:jc w:val="left"/>
        <w:rPr>
          <w:rFonts w:ascii="Arial" w:hAnsi="Arial" w:cs="Arial"/>
          <w:b/>
          <w:bCs/>
          <w:spacing w:val="-5"/>
          <w:kern w:val="0"/>
          <w:sz w:val="22"/>
          <w:szCs w:val="22"/>
        </w:rPr>
      </w:pPr>
      <w:r w:rsidRPr="009B7E22">
        <w:rPr>
          <w:rFonts w:ascii="Arial" w:hAnsi="Arial" w:cs="Arial"/>
          <w:b/>
          <w:bCs/>
          <w:spacing w:val="-5"/>
          <w:kern w:val="0"/>
          <w:sz w:val="22"/>
          <w:szCs w:val="22"/>
        </w:rPr>
        <w:br w:type="page"/>
      </w:r>
    </w:p>
    <w:p w14:paraId="53F14212" w14:textId="2AD307A8" w:rsidR="001917DA" w:rsidRPr="009B7E22" w:rsidRDefault="001917DA" w:rsidP="008536DF">
      <w:pPr>
        <w:widowControl/>
        <w:wordWrap/>
        <w:spacing w:line="276" w:lineRule="auto"/>
        <w:rPr>
          <w:rFonts w:ascii="Arial" w:hAnsi="Arial" w:cs="Arial"/>
          <w:kern w:val="0"/>
          <w:sz w:val="22"/>
          <w:szCs w:val="22"/>
        </w:rPr>
      </w:pPr>
      <w:r w:rsidRPr="009B7E22">
        <w:rPr>
          <w:rFonts w:ascii="Arial" w:hAnsi="Arial" w:cs="Arial"/>
          <w:b/>
          <w:bCs/>
          <w:spacing w:val="-5"/>
          <w:kern w:val="0"/>
          <w:sz w:val="22"/>
          <w:szCs w:val="22"/>
        </w:rPr>
        <w:lastRenderedPageBreak/>
        <w:t>Decentralization</w:t>
      </w:r>
    </w:p>
    <w:p w14:paraId="6980A15A" w14:textId="40A7163A" w:rsidR="001917DA" w:rsidRPr="009B7E22" w:rsidRDefault="001917DA" w:rsidP="008536DF">
      <w:pPr>
        <w:spacing w:line="276" w:lineRule="auto"/>
        <w:rPr>
          <w:rFonts w:ascii="Arial" w:hAnsi="Arial" w:cs="Arial"/>
          <w:sz w:val="22"/>
          <w:szCs w:val="22"/>
        </w:rPr>
      </w:pPr>
    </w:p>
    <w:p w14:paraId="650C98A4" w14:textId="0F10756D"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Style w:val="A30"/>
          <w:rFonts w:ascii="Arial" w:hAnsi="Arial" w:cs="Arial"/>
        </w:rPr>
        <w:t>Sejong Special Self-Governing City</w:t>
      </w:r>
    </w:p>
    <w:p w14:paraId="1659EDDB" w14:textId="4CFC764E"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 xml:space="preserve">&lt;history&gt; </w:t>
      </w:r>
      <w:r w:rsidRPr="009B7E22">
        <w:rPr>
          <w:rStyle w:val="A30"/>
          <w:rFonts w:ascii="Arial" w:hAnsi="Arial" w:cs="Arial"/>
        </w:rPr>
        <w:t>History of Sejong</w:t>
      </w:r>
    </w:p>
    <w:p w14:paraId="71D26B5A" w14:textId="11FEB863"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 xml:space="preserve">&lt;map&gt; </w:t>
      </w:r>
      <w:r w:rsidRPr="009B7E22">
        <w:rPr>
          <w:rFonts w:ascii="Arial" w:hAnsi="Arial" w:cs="Arial"/>
          <w:sz w:val="22"/>
          <w:szCs w:val="22"/>
        </w:rPr>
        <w:t>Administrative Complex</w:t>
      </w:r>
    </w:p>
    <w:p w14:paraId="04367F6A" w14:textId="0D00E11E"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 xml:space="preserve">&lt;table&gt; </w:t>
      </w:r>
      <w:r w:rsidRPr="009B7E22">
        <w:rPr>
          <w:rFonts w:ascii="Arial" w:hAnsi="Arial" w:cs="Arial"/>
          <w:sz w:val="22"/>
          <w:szCs w:val="22"/>
        </w:rPr>
        <w:t>Status of Sejong Government Complex (2020. 12. 31)</w:t>
      </w:r>
    </w:p>
    <w:p w14:paraId="7D5C576F" w14:textId="5A93295F" w:rsidR="00FA4F14" w:rsidRPr="009B7E22" w:rsidRDefault="00FA4F14" w:rsidP="008536DF">
      <w:pPr>
        <w:spacing w:line="276" w:lineRule="auto"/>
        <w:rPr>
          <w:rFonts w:ascii="Arial" w:hAnsi="Arial" w:cs="Arial"/>
          <w:sz w:val="22"/>
          <w:szCs w:val="22"/>
        </w:rPr>
      </w:pPr>
    </w:p>
    <w:p w14:paraId="06BADA5B"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The history of Sejong Special Self-Governing City began with the establishment of the New Administrative Capital Construction Planning Team in 2003. As one of the axes of balanced national development, the government promoted the construction of a new administrative capital in the Chungcheong region. However, in 2004, the Constitutional Court ruled that the Special Act on the Construction of Administrative Capital was unconstitutional. However, the government continued its policy of building a new administrative city by changing the name and character of the city from “New Administrative Capital” to “Administrative-Centered Complex City” and reducing the number of relocating central administrative departments. In 2006, the government started construction of a new city centering on the Government Complex Sejong with the opening of the National Agency for Administrative City Construction. In 2011, residents began to move in. Then, in July 2012, Sejong Special Self-Governing City, including an administrative complex city, was first launched as a local government.</w:t>
      </w:r>
    </w:p>
    <w:p w14:paraId="495794AC"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In 2012, beginning with the Office for Government Policy, the first phase of relocating central administrative agencies to Sejong was completed. In 2013 and 2014, the second and third phases of relocating central administrative agencies were completed. As of 2020, the Sejong Government Complex has 16,288 civil servants working in 20 central ministries and 15 affiliated organizations. The total number of civil servants in the central government is 746,267. In addition, 16 national research institutes moved to Sejong-</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and about 1,500 employees work there. Approximately 20,000 government officials and employees of government-affiliated organizations and institutes work in Sejong-</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which is 16% of the 125,410 employees in Sejong-</w:t>
      </w:r>
      <w:proofErr w:type="spellStart"/>
      <w:r w:rsidRPr="009B7E22">
        <w:rPr>
          <w:rFonts w:ascii="Arial" w:hAnsi="Arial" w:cs="Arial"/>
          <w:kern w:val="0"/>
          <w:sz w:val="22"/>
          <w:szCs w:val="22"/>
        </w:rPr>
        <w:t>si</w:t>
      </w:r>
      <w:proofErr w:type="spellEnd"/>
      <w:r w:rsidRPr="009B7E22">
        <w:rPr>
          <w:rFonts w:ascii="Arial" w:hAnsi="Arial" w:cs="Arial"/>
          <w:kern w:val="0"/>
          <w:sz w:val="22"/>
          <w:szCs w:val="22"/>
        </w:rPr>
        <w:t xml:space="preserve"> as of the end of 2020.</w:t>
      </w:r>
    </w:p>
    <w:p w14:paraId="3FEF6C7E" w14:textId="4F8E5238" w:rsidR="001917DA" w:rsidRPr="009B7E22" w:rsidRDefault="001917DA" w:rsidP="008536DF">
      <w:pPr>
        <w:spacing w:line="276" w:lineRule="auto"/>
        <w:rPr>
          <w:rFonts w:ascii="Arial" w:hAnsi="Arial" w:cs="Arial"/>
          <w:sz w:val="22"/>
          <w:szCs w:val="22"/>
        </w:rPr>
      </w:pPr>
    </w:p>
    <w:p w14:paraId="13310778" w14:textId="77777777" w:rsidR="00FA4F14" w:rsidRPr="009B7E22" w:rsidRDefault="00FA4F14" w:rsidP="00FA4F14">
      <w:pPr>
        <w:spacing w:line="276" w:lineRule="auto"/>
        <w:rPr>
          <w:rFonts w:ascii="Arial" w:hAnsi="Arial" w:cs="Arial"/>
          <w:sz w:val="22"/>
          <w:szCs w:val="22"/>
        </w:rPr>
      </w:pPr>
      <w:r w:rsidRPr="009B7E22">
        <w:rPr>
          <w:rFonts w:ascii="Arial" w:hAnsi="Arial" w:cs="Arial"/>
          <w:sz w:val="22"/>
          <w:szCs w:val="22"/>
        </w:rPr>
        <w:t xml:space="preserve">&lt;map&gt; </w:t>
      </w:r>
      <w:proofErr w:type="spellStart"/>
      <w:r w:rsidRPr="009B7E22">
        <w:rPr>
          <w:rStyle w:val="A30"/>
          <w:rFonts w:ascii="Arial" w:hAnsi="Arial" w:cs="Arial"/>
          <w:sz w:val="22"/>
          <w:szCs w:val="22"/>
        </w:rPr>
        <w:t>Jeju</w:t>
      </w:r>
      <w:proofErr w:type="spellEnd"/>
      <w:r w:rsidRPr="009B7E22">
        <w:rPr>
          <w:rStyle w:val="A30"/>
          <w:rFonts w:ascii="Arial" w:hAnsi="Arial" w:cs="Arial"/>
          <w:sz w:val="22"/>
          <w:szCs w:val="22"/>
        </w:rPr>
        <w:t xml:space="preserve"> Special Self-Governing Province</w:t>
      </w:r>
    </w:p>
    <w:p w14:paraId="21F50C3B" w14:textId="6B0BE128" w:rsidR="00FA4F14" w:rsidRPr="009B7E22" w:rsidRDefault="00FA4F14" w:rsidP="008536DF">
      <w:pPr>
        <w:spacing w:line="276" w:lineRule="auto"/>
        <w:rPr>
          <w:rFonts w:ascii="Arial" w:hAnsi="Arial" w:cs="Arial"/>
          <w:sz w:val="22"/>
          <w:szCs w:val="22"/>
        </w:rPr>
      </w:pPr>
      <w:r w:rsidRPr="009B7E22">
        <w:rPr>
          <w:rFonts w:ascii="Arial" w:hAnsi="Arial" w:cs="Arial"/>
          <w:sz w:val="22"/>
          <w:szCs w:val="22"/>
        </w:rPr>
        <w:t>&lt;history&gt;</w:t>
      </w:r>
      <w:r w:rsidRPr="009B7E22">
        <w:rPr>
          <w:rFonts w:ascii="Arial" w:hAnsi="Arial" w:cs="Arial"/>
          <w:sz w:val="22"/>
          <w:szCs w:val="22"/>
        </w:rPr>
        <w:t xml:space="preserve"> </w:t>
      </w:r>
      <w:r w:rsidRPr="009B7E22">
        <w:rPr>
          <w:rFonts w:ascii="Arial" w:hAnsi="Arial" w:cs="Arial"/>
          <w:sz w:val="22"/>
          <w:szCs w:val="22"/>
        </w:rPr>
        <w:t xml:space="preserve">History of </w:t>
      </w:r>
      <w:proofErr w:type="spellStart"/>
      <w:r w:rsidRPr="009B7E22">
        <w:rPr>
          <w:rFonts w:ascii="Arial" w:hAnsi="Arial" w:cs="Arial"/>
          <w:sz w:val="22"/>
          <w:szCs w:val="22"/>
        </w:rPr>
        <w:t>Jeju</w:t>
      </w:r>
      <w:proofErr w:type="spellEnd"/>
      <w:r w:rsidRPr="009B7E22">
        <w:rPr>
          <w:rFonts w:ascii="Arial" w:hAnsi="Arial" w:cs="Arial"/>
          <w:sz w:val="22"/>
          <w:szCs w:val="22"/>
        </w:rPr>
        <w:t xml:space="preserve"> Development Plan</w:t>
      </w:r>
    </w:p>
    <w:p w14:paraId="2F2E02E0" w14:textId="77777777" w:rsidR="00FA4F14" w:rsidRPr="009B7E22" w:rsidRDefault="00FA4F14" w:rsidP="008536DF">
      <w:pPr>
        <w:spacing w:line="276" w:lineRule="auto"/>
        <w:rPr>
          <w:rFonts w:ascii="Arial" w:hAnsi="Arial" w:cs="Arial"/>
          <w:sz w:val="22"/>
          <w:szCs w:val="22"/>
        </w:rPr>
      </w:pPr>
    </w:p>
    <w:p w14:paraId="5F21E7BA" w14:textId="77777777" w:rsidR="001917DA" w:rsidRPr="009B7E22" w:rsidRDefault="001917DA" w:rsidP="008536DF">
      <w:pPr>
        <w:widowControl/>
        <w:wordWrap/>
        <w:spacing w:line="276" w:lineRule="auto"/>
        <w:ind w:firstLine="128"/>
        <w:rPr>
          <w:rFonts w:ascii="Arial" w:hAnsi="Arial" w:cs="Arial"/>
          <w:kern w:val="0"/>
          <w:sz w:val="22"/>
          <w:szCs w:val="22"/>
        </w:rPr>
      </w:pP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-do, separated from </w:t>
      </w:r>
      <w:proofErr w:type="spellStart"/>
      <w:r w:rsidRPr="009B7E22">
        <w:rPr>
          <w:rFonts w:ascii="Arial" w:hAnsi="Arial" w:cs="Arial"/>
          <w:kern w:val="0"/>
          <w:sz w:val="22"/>
          <w:szCs w:val="22"/>
        </w:rPr>
        <w:t>Jeollanam</w:t>
      </w:r>
      <w:proofErr w:type="spellEnd"/>
      <w:r w:rsidRPr="009B7E22">
        <w:rPr>
          <w:rFonts w:ascii="Arial" w:hAnsi="Arial" w:cs="Arial"/>
          <w:kern w:val="0"/>
          <w:sz w:val="22"/>
          <w:szCs w:val="22"/>
        </w:rPr>
        <w:t xml:space="preserve">-do in 1946, became a Special Self-Governing Province on July 1, 2006, according to the Special Act for the Establishment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and the Creation of a Free International City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Act). The launch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was the beginning of the local autonomy and decentralization system. Of the central government’s powers, 1,062 powers, such as autonomous police, a recall system for residents, and education autonomy, were transferred. It is the case that the decentralization policy was first introduced in Korea. The central government reduced the number of countries that do not allow visa-free entry from 22 to 10 for the strengthening of independent fiscal power and economic development and transferred more powers to the Special Self-Governing Province than existing free economic zones, such as the establishment of international high schools and foreign profit-making corporations. In addition, along with the transfer </w:t>
      </w:r>
      <w:r w:rsidRPr="009B7E22">
        <w:rPr>
          <w:rFonts w:ascii="Arial" w:hAnsi="Arial" w:cs="Arial"/>
          <w:kern w:val="0"/>
          <w:sz w:val="22"/>
          <w:szCs w:val="22"/>
        </w:rPr>
        <w:lastRenderedPageBreak/>
        <w:t>of authority from the central government,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Performance Evaluation System” was introduced following the agreement between the prime minister and the governor of the Special Self-Governing Province to promote decentralization development.</w:t>
      </w:r>
    </w:p>
    <w:p w14:paraId="32C3AF20"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The special plan for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begins with the review of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Free Port or Free Zone by the 1963 Supreme Council for National Reconstruction. In 1964, according to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Island Construction Comprehensive Plan, five tourism offices were established at </w:t>
      </w:r>
      <w:proofErr w:type="spellStart"/>
      <w:r w:rsidRPr="009B7E22">
        <w:rPr>
          <w:rFonts w:ascii="Arial" w:hAnsi="Arial" w:cs="Arial"/>
          <w:kern w:val="0"/>
          <w:sz w:val="22"/>
          <w:szCs w:val="22"/>
        </w:rPr>
        <w:t>Jeju-si</w:t>
      </w:r>
      <w:proofErr w:type="spellEnd"/>
      <w:r w:rsidRPr="009B7E22">
        <w:rPr>
          <w:rFonts w:ascii="Arial" w:hAnsi="Arial" w:cs="Arial"/>
          <w:kern w:val="0"/>
          <w:sz w:val="22"/>
          <w:szCs w:val="22"/>
        </w:rPr>
        <w:t xml:space="preserve">, </w:t>
      </w:r>
      <w:proofErr w:type="spellStart"/>
      <w:r w:rsidRPr="009B7E22">
        <w:rPr>
          <w:rFonts w:ascii="Arial" w:hAnsi="Arial" w:cs="Arial"/>
          <w:kern w:val="0"/>
          <w:sz w:val="22"/>
          <w:szCs w:val="22"/>
        </w:rPr>
        <w:t>Hallasan</w:t>
      </w:r>
      <w:proofErr w:type="spellEnd"/>
      <w:r w:rsidRPr="009B7E22">
        <w:rPr>
          <w:rFonts w:ascii="Arial" w:hAnsi="Arial" w:cs="Arial"/>
          <w:kern w:val="0"/>
          <w:sz w:val="22"/>
          <w:szCs w:val="22"/>
        </w:rPr>
        <w:t xml:space="preserve">, </w:t>
      </w:r>
      <w:proofErr w:type="spellStart"/>
      <w:r w:rsidRPr="009B7E22">
        <w:rPr>
          <w:rFonts w:ascii="Arial" w:hAnsi="Arial" w:cs="Arial"/>
          <w:kern w:val="0"/>
          <w:sz w:val="22"/>
          <w:szCs w:val="22"/>
        </w:rPr>
        <w:t>Seogwipo-si</w:t>
      </w:r>
      <w:proofErr w:type="spellEnd"/>
      <w:r w:rsidRPr="009B7E22">
        <w:rPr>
          <w:rFonts w:ascii="Arial" w:hAnsi="Arial" w:cs="Arial"/>
          <w:kern w:val="0"/>
          <w:sz w:val="22"/>
          <w:szCs w:val="22"/>
        </w:rPr>
        <w:t>, Seongsan-</w:t>
      </w:r>
      <w:proofErr w:type="spellStart"/>
      <w:r w:rsidRPr="009B7E22">
        <w:rPr>
          <w:rFonts w:ascii="Arial" w:hAnsi="Arial" w:cs="Arial"/>
          <w:kern w:val="0"/>
          <w:sz w:val="22"/>
          <w:szCs w:val="22"/>
        </w:rPr>
        <w:t>eup</w:t>
      </w:r>
      <w:proofErr w:type="spellEnd"/>
      <w:r w:rsidRPr="009B7E22">
        <w:rPr>
          <w:rFonts w:ascii="Arial" w:hAnsi="Arial" w:cs="Arial"/>
          <w:kern w:val="0"/>
          <w:sz w:val="22"/>
          <w:szCs w:val="22"/>
        </w:rPr>
        <w:t xml:space="preserve">, and </w:t>
      </w:r>
      <w:proofErr w:type="spellStart"/>
      <w:r w:rsidRPr="009B7E22">
        <w:rPr>
          <w:rFonts w:ascii="Arial" w:hAnsi="Arial" w:cs="Arial"/>
          <w:kern w:val="0"/>
          <w:sz w:val="22"/>
          <w:szCs w:val="22"/>
        </w:rPr>
        <w:t>Daejeong-eup</w:t>
      </w:r>
      <w:proofErr w:type="spellEnd"/>
      <w:r w:rsidRPr="009B7E22">
        <w:rPr>
          <w:rFonts w:ascii="Arial" w:hAnsi="Arial" w:cs="Arial"/>
          <w:kern w:val="0"/>
          <w:sz w:val="22"/>
          <w:szCs w:val="22"/>
        </w:rPr>
        <w:t xml:space="preserve">. In 1966,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Island was designated as a “Specific Region,” providing a basis for strengthening support from the central government. In 1972, the Comprehensive Development Plan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-do was developed as a follow-up measure to the First Comprehensive National Land Development Plan (1972–1981) of the Ministry of Construction. After the completion of this plan, the development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-do was carried out in two directions: the Comprehensive Plan for Specific Regions as the national plan and the Comprehensive Development Plan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-do as the provincial plan. </w:t>
      </w:r>
    </w:p>
    <w:p w14:paraId="18222F53"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In 1992,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Development Act came into force with the expiration of the designated period for a specific region, resulting in the Comprehensive Development Plan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-do in 1994.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Free International City has been promoted since 1998. In 2004, the Five-Year Plan for Innovative Development of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Region was established according to the Balanced National Development Policy, and government agencies in the Seoul Metropolitan Area moved to </w:t>
      </w:r>
      <w:proofErr w:type="spellStart"/>
      <w:r w:rsidRPr="009B7E22">
        <w:rPr>
          <w:rFonts w:ascii="Arial" w:hAnsi="Arial" w:cs="Arial"/>
          <w:kern w:val="0"/>
          <w:sz w:val="22"/>
          <w:szCs w:val="22"/>
        </w:rPr>
        <w:t>Seogwipo</w:t>
      </w:r>
      <w:proofErr w:type="spellEnd"/>
      <w:r w:rsidRPr="009B7E22">
        <w:rPr>
          <w:rFonts w:ascii="Arial" w:hAnsi="Arial" w:cs="Arial"/>
          <w:kern w:val="0"/>
          <w:sz w:val="22"/>
          <w:szCs w:val="22"/>
        </w:rPr>
        <w:t xml:space="preserve"> Innovation City. </w:t>
      </w:r>
    </w:p>
    <w:p w14:paraId="727E4EAD"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In August 2005, a referendum was held to ask about the administrative structure reform necessary to implement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System. 57% supported the proposal to establish a single metropolitan government. As a result,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was launched in 2006 with the enactment of the Special Act for the Establishment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and the Creation of Free International City. Accordingly, from 2007, the regional development plan once centered on the central government was transferred to the provincial government, and the first Comprehensive Plan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Free International City was established. In 2012, the 2nd Comprehensive Plan (2012–2021) for the balanced development of the four regions was established.</w:t>
      </w:r>
    </w:p>
    <w:p w14:paraId="729D46A5" w14:textId="77777777" w:rsidR="001917DA" w:rsidRPr="009B7E22" w:rsidRDefault="001917DA" w:rsidP="008536DF">
      <w:pPr>
        <w:widowControl/>
        <w:wordWrap/>
        <w:spacing w:line="276" w:lineRule="auto"/>
        <w:ind w:firstLine="128"/>
        <w:rPr>
          <w:rFonts w:ascii="Arial" w:hAnsi="Arial" w:cs="Arial"/>
          <w:kern w:val="0"/>
          <w:sz w:val="22"/>
          <w:szCs w:val="22"/>
        </w:rPr>
      </w:pPr>
      <w:r w:rsidRPr="009B7E22">
        <w:rPr>
          <w:rFonts w:ascii="Arial" w:hAnsi="Arial" w:cs="Arial"/>
          <w:kern w:val="0"/>
          <w:sz w:val="22"/>
          <w:szCs w:val="22"/>
        </w:rPr>
        <w:t xml:space="preserve">In addition to the national Natural Environment Conservation Area,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designates Absolute, Relative, and Controlled Conservation Zones according to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Act enacted in 2006. As of December 2019, of the total area of 1,850.21 </w:t>
      </w:r>
      <w:proofErr w:type="spellStart"/>
      <w:r w:rsidRPr="009B7E22">
        <w:rPr>
          <w:rFonts w:ascii="Arial" w:hAnsi="Arial" w:cs="Arial"/>
          <w:kern w:val="0"/>
          <w:sz w:val="22"/>
          <w:szCs w:val="22"/>
        </w:rPr>
        <w:t>km</w:t>
      </w:r>
      <w:r w:rsidRPr="009B7E22">
        <w:rPr>
          <w:rFonts w:ascii="Arial" w:hAnsi="Arial" w:cs="Arial"/>
          <w:kern w:val="0"/>
          <w:sz w:val="22"/>
          <w:szCs w:val="22"/>
          <w:vertAlign w:val="superscript"/>
        </w:rPr>
        <w:t>2</w:t>
      </w:r>
      <w:proofErr w:type="spellEnd"/>
      <w:r w:rsidRPr="009B7E22">
        <w:rPr>
          <w:rFonts w:ascii="Arial" w:hAnsi="Arial" w:cs="Arial"/>
          <w:kern w:val="0"/>
          <w:sz w:val="22"/>
          <w:szCs w:val="22"/>
        </w:rPr>
        <w:t xml:space="preserve">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the Absolute Conservation Zone was 214.40 km</w:t>
      </w:r>
      <w:r w:rsidRPr="009B7E22">
        <w:rPr>
          <w:rFonts w:ascii="Arial" w:hAnsi="Arial" w:cs="Arial"/>
          <w:kern w:val="0"/>
          <w:sz w:val="22"/>
          <w:szCs w:val="22"/>
          <w:vertAlign w:val="superscript"/>
        </w:rPr>
        <w:t>2</w:t>
      </w:r>
      <w:r w:rsidRPr="009B7E22">
        <w:rPr>
          <w:rFonts w:ascii="Arial" w:hAnsi="Arial" w:cs="Arial"/>
          <w:kern w:val="0"/>
          <w:sz w:val="22"/>
          <w:szCs w:val="22"/>
        </w:rPr>
        <w:t>, the Relative Conservation Zone 12.76 km</w:t>
      </w:r>
      <w:r w:rsidRPr="009B7E22">
        <w:rPr>
          <w:rFonts w:ascii="Arial" w:hAnsi="Arial" w:cs="Arial"/>
          <w:kern w:val="0"/>
          <w:sz w:val="22"/>
          <w:szCs w:val="22"/>
          <w:vertAlign w:val="superscript"/>
        </w:rPr>
        <w:t>2</w:t>
      </w:r>
      <w:r w:rsidRPr="009B7E22">
        <w:rPr>
          <w:rFonts w:ascii="Arial" w:hAnsi="Arial" w:cs="Arial"/>
          <w:kern w:val="0"/>
          <w:sz w:val="22"/>
          <w:szCs w:val="22"/>
        </w:rPr>
        <w:t>, and the Controlled Conservation Zone 1,233.30 km</w:t>
      </w:r>
      <w:r w:rsidRPr="009B7E22">
        <w:rPr>
          <w:rFonts w:ascii="Arial" w:hAnsi="Arial" w:cs="Arial"/>
          <w:kern w:val="0"/>
          <w:sz w:val="22"/>
          <w:szCs w:val="22"/>
          <w:vertAlign w:val="superscript"/>
        </w:rPr>
        <w:t>2</w:t>
      </w:r>
      <w:r w:rsidRPr="009B7E22">
        <w:rPr>
          <w:rFonts w:ascii="Arial" w:hAnsi="Arial" w:cs="Arial"/>
          <w:kern w:val="0"/>
          <w:sz w:val="22"/>
          <w:szCs w:val="22"/>
        </w:rPr>
        <w:t xml:space="preserve">. According to the Ordinance on the Management of Conservation Areas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Self-Governing Province, these zones are designated by grades, such as groundwater resource conservation zones, ecosystem conservation zones, and landscape conservation zones, based on their environmental characteristics. In addition, as a significant conservation area, there is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Island Biosphere Reserve, designated by UNESCO in 2002, which is also specified as a conservation area in the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Special Act. The site covers the entire island of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including the marine zone within 5.5 km of the coastline, and consists of a core zone, a buffer zone, and a cooperative zone, respectively, on land and ocean (</w:t>
      </w:r>
      <w:proofErr w:type="spellStart"/>
      <w:r w:rsidRPr="009B7E22">
        <w:rPr>
          <w:rFonts w:ascii="Arial" w:hAnsi="Arial" w:cs="Arial"/>
          <w:kern w:val="0"/>
          <w:sz w:val="22"/>
          <w:szCs w:val="22"/>
        </w:rPr>
        <w:t>Jeju</w:t>
      </w:r>
      <w:proofErr w:type="spellEnd"/>
      <w:r w:rsidRPr="009B7E22">
        <w:rPr>
          <w:rFonts w:ascii="Arial" w:hAnsi="Arial" w:cs="Arial"/>
          <w:kern w:val="0"/>
          <w:sz w:val="22"/>
          <w:szCs w:val="22"/>
        </w:rPr>
        <w:t xml:space="preserve"> Island Biosphere Reserve).</w:t>
      </w:r>
    </w:p>
    <w:p w14:paraId="16AC1544" w14:textId="77777777" w:rsidR="001917DA" w:rsidRPr="009B7E22" w:rsidRDefault="001917DA" w:rsidP="008536DF">
      <w:pPr>
        <w:spacing w:line="276" w:lineRule="auto"/>
        <w:rPr>
          <w:rFonts w:ascii="Arial" w:hAnsi="Arial" w:cs="Arial"/>
          <w:sz w:val="22"/>
          <w:szCs w:val="22"/>
        </w:rPr>
      </w:pPr>
    </w:p>
    <w:p w14:paraId="62B885C7" w14:textId="77777777" w:rsidR="001917DA" w:rsidRPr="008536DF" w:rsidRDefault="001917DA" w:rsidP="008536DF">
      <w:pPr>
        <w:spacing w:line="276" w:lineRule="auto"/>
        <w:rPr>
          <w:rFonts w:ascii="Arial" w:hAnsi="Arial" w:cs="Arial"/>
          <w:sz w:val="22"/>
          <w:szCs w:val="22"/>
        </w:rPr>
      </w:pPr>
    </w:p>
    <w:sectPr w:rsidR="001917DA" w:rsidRPr="008536DF"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0E9F5" w14:textId="77777777" w:rsidR="00664B8A" w:rsidRDefault="00664B8A" w:rsidP="008536DF">
      <w:r>
        <w:separator/>
      </w:r>
    </w:p>
  </w:endnote>
  <w:endnote w:type="continuationSeparator" w:id="0">
    <w:p w14:paraId="3253619F" w14:textId="77777777" w:rsidR="00664B8A" w:rsidRDefault="00664B8A" w:rsidP="00853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RFXWFE+NanumGothicOTFBold">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3A1380" w14:textId="77777777" w:rsidR="00664B8A" w:rsidRDefault="00664B8A" w:rsidP="008536DF">
      <w:r>
        <w:separator/>
      </w:r>
    </w:p>
  </w:footnote>
  <w:footnote w:type="continuationSeparator" w:id="0">
    <w:p w14:paraId="658A50EF" w14:textId="77777777" w:rsidR="00664B8A" w:rsidRDefault="00664B8A" w:rsidP="00853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F748F"/>
    <w:multiLevelType w:val="hybridMultilevel"/>
    <w:tmpl w:val="2D4AF16A"/>
    <w:lvl w:ilvl="0" w:tplc="73AE593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05663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7DA"/>
    <w:rsid w:val="000E005E"/>
    <w:rsid w:val="001102D9"/>
    <w:rsid w:val="001917DA"/>
    <w:rsid w:val="002B7742"/>
    <w:rsid w:val="00510793"/>
    <w:rsid w:val="00664B8A"/>
    <w:rsid w:val="006A79C0"/>
    <w:rsid w:val="00700E9C"/>
    <w:rsid w:val="008536DF"/>
    <w:rsid w:val="009B7E22"/>
    <w:rsid w:val="00A03F64"/>
    <w:rsid w:val="00C9471E"/>
    <w:rsid w:val="00FA4F1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8C33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1917DA"/>
    <w:pPr>
      <w:widowControl/>
      <w:wordWrap/>
    </w:pPr>
    <w:rPr>
      <w:rFonts w:ascii="Palatino Linotype" w:hAnsi="Palatino Linotype" w:cs="Times New Roman"/>
      <w:kern w:val="0"/>
      <w:sz w:val="36"/>
      <w:szCs w:val="36"/>
    </w:rPr>
  </w:style>
  <w:style w:type="character" w:customStyle="1" w:styleId="s1">
    <w:name w:val="s1"/>
    <w:basedOn w:val="a0"/>
    <w:rsid w:val="001917DA"/>
    <w:rPr>
      <w:spacing w:val="-3"/>
    </w:rPr>
  </w:style>
  <w:style w:type="character" w:customStyle="1" w:styleId="apple-converted-space">
    <w:name w:val="apple-converted-space"/>
    <w:basedOn w:val="a0"/>
    <w:rsid w:val="001917DA"/>
  </w:style>
  <w:style w:type="character" w:customStyle="1" w:styleId="s2">
    <w:name w:val="s2"/>
    <w:basedOn w:val="a0"/>
    <w:rsid w:val="001917DA"/>
    <w:rPr>
      <w:spacing w:val="-2"/>
    </w:rPr>
  </w:style>
  <w:style w:type="paragraph" w:styleId="a3">
    <w:name w:val="header"/>
    <w:basedOn w:val="a"/>
    <w:link w:val="Char"/>
    <w:uiPriority w:val="99"/>
    <w:unhideWhenUsed/>
    <w:rsid w:val="008536DF"/>
    <w:pPr>
      <w:tabs>
        <w:tab w:val="center" w:pos="4513"/>
        <w:tab w:val="right" w:pos="9026"/>
      </w:tabs>
      <w:snapToGrid w:val="0"/>
    </w:pPr>
  </w:style>
  <w:style w:type="character" w:customStyle="1" w:styleId="Char">
    <w:name w:val="머리글 Char"/>
    <w:basedOn w:val="a0"/>
    <w:link w:val="a3"/>
    <w:uiPriority w:val="99"/>
    <w:rsid w:val="008536DF"/>
  </w:style>
  <w:style w:type="paragraph" w:styleId="a4">
    <w:name w:val="footer"/>
    <w:basedOn w:val="a"/>
    <w:link w:val="Char0"/>
    <w:uiPriority w:val="99"/>
    <w:unhideWhenUsed/>
    <w:rsid w:val="008536DF"/>
    <w:pPr>
      <w:tabs>
        <w:tab w:val="center" w:pos="4513"/>
        <w:tab w:val="right" w:pos="9026"/>
      </w:tabs>
      <w:snapToGrid w:val="0"/>
    </w:pPr>
  </w:style>
  <w:style w:type="character" w:customStyle="1" w:styleId="Char0">
    <w:name w:val="바닥글 Char"/>
    <w:basedOn w:val="a0"/>
    <w:link w:val="a4"/>
    <w:uiPriority w:val="99"/>
    <w:rsid w:val="008536DF"/>
  </w:style>
  <w:style w:type="paragraph" w:customStyle="1" w:styleId="Default">
    <w:name w:val="Default"/>
    <w:rsid w:val="000E005E"/>
    <w:pPr>
      <w:widowControl w:val="0"/>
      <w:autoSpaceDE w:val="0"/>
      <w:autoSpaceDN w:val="0"/>
      <w:adjustRightInd w:val="0"/>
    </w:pPr>
    <w:rPr>
      <w:rFonts w:ascii="Montserrat" w:hAnsi="Montserrat" w:cs="Montserrat"/>
      <w:color w:val="000000"/>
      <w:kern w:val="0"/>
    </w:rPr>
  </w:style>
  <w:style w:type="character" w:customStyle="1" w:styleId="A30">
    <w:name w:val="A3"/>
    <w:uiPriority w:val="99"/>
    <w:rsid w:val="000E005E"/>
    <w:rPr>
      <w:rFonts w:cs="Montserrat"/>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67911">
      <w:bodyDiv w:val="1"/>
      <w:marLeft w:val="0"/>
      <w:marRight w:val="0"/>
      <w:marTop w:val="0"/>
      <w:marBottom w:val="0"/>
      <w:divBdr>
        <w:top w:val="none" w:sz="0" w:space="0" w:color="auto"/>
        <w:left w:val="none" w:sz="0" w:space="0" w:color="auto"/>
        <w:bottom w:val="none" w:sz="0" w:space="0" w:color="auto"/>
        <w:right w:val="none" w:sz="0" w:space="0" w:color="auto"/>
      </w:divBdr>
    </w:div>
    <w:div w:id="181629950">
      <w:bodyDiv w:val="1"/>
      <w:marLeft w:val="0"/>
      <w:marRight w:val="0"/>
      <w:marTop w:val="0"/>
      <w:marBottom w:val="0"/>
      <w:divBdr>
        <w:top w:val="none" w:sz="0" w:space="0" w:color="auto"/>
        <w:left w:val="none" w:sz="0" w:space="0" w:color="auto"/>
        <w:bottom w:val="none" w:sz="0" w:space="0" w:color="auto"/>
        <w:right w:val="none" w:sz="0" w:space="0" w:color="auto"/>
      </w:divBdr>
    </w:div>
    <w:div w:id="263420449">
      <w:bodyDiv w:val="1"/>
      <w:marLeft w:val="0"/>
      <w:marRight w:val="0"/>
      <w:marTop w:val="0"/>
      <w:marBottom w:val="0"/>
      <w:divBdr>
        <w:top w:val="none" w:sz="0" w:space="0" w:color="auto"/>
        <w:left w:val="none" w:sz="0" w:space="0" w:color="auto"/>
        <w:bottom w:val="none" w:sz="0" w:space="0" w:color="auto"/>
        <w:right w:val="none" w:sz="0" w:space="0" w:color="auto"/>
      </w:divBdr>
    </w:div>
    <w:div w:id="319506437">
      <w:bodyDiv w:val="1"/>
      <w:marLeft w:val="0"/>
      <w:marRight w:val="0"/>
      <w:marTop w:val="0"/>
      <w:marBottom w:val="0"/>
      <w:divBdr>
        <w:top w:val="none" w:sz="0" w:space="0" w:color="auto"/>
        <w:left w:val="none" w:sz="0" w:space="0" w:color="auto"/>
        <w:bottom w:val="none" w:sz="0" w:space="0" w:color="auto"/>
        <w:right w:val="none" w:sz="0" w:space="0" w:color="auto"/>
      </w:divBdr>
    </w:div>
    <w:div w:id="394284437">
      <w:bodyDiv w:val="1"/>
      <w:marLeft w:val="0"/>
      <w:marRight w:val="0"/>
      <w:marTop w:val="0"/>
      <w:marBottom w:val="0"/>
      <w:divBdr>
        <w:top w:val="none" w:sz="0" w:space="0" w:color="auto"/>
        <w:left w:val="none" w:sz="0" w:space="0" w:color="auto"/>
        <w:bottom w:val="none" w:sz="0" w:space="0" w:color="auto"/>
        <w:right w:val="none" w:sz="0" w:space="0" w:color="auto"/>
      </w:divBdr>
    </w:div>
    <w:div w:id="440534001">
      <w:bodyDiv w:val="1"/>
      <w:marLeft w:val="0"/>
      <w:marRight w:val="0"/>
      <w:marTop w:val="0"/>
      <w:marBottom w:val="0"/>
      <w:divBdr>
        <w:top w:val="none" w:sz="0" w:space="0" w:color="auto"/>
        <w:left w:val="none" w:sz="0" w:space="0" w:color="auto"/>
        <w:bottom w:val="none" w:sz="0" w:space="0" w:color="auto"/>
        <w:right w:val="none" w:sz="0" w:space="0" w:color="auto"/>
      </w:divBdr>
    </w:div>
    <w:div w:id="481627773">
      <w:bodyDiv w:val="1"/>
      <w:marLeft w:val="0"/>
      <w:marRight w:val="0"/>
      <w:marTop w:val="0"/>
      <w:marBottom w:val="0"/>
      <w:divBdr>
        <w:top w:val="none" w:sz="0" w:space="0" w:color="auto"/>
        <w:left w:val="none" w:sz="0" w:space="0" w:color="auto"/>
        <w:bottom w:val="none" w:sz="0" w:space="0" w:color="auto"/>
        <w:right w:val="none" w:sz="0" w:space="0" w:color="auto"/>
      </w:divBdr>
    </w:div>
    <w:div w:id="684863236">
      <w:bodyDiv w:val="1"/>
      <w:marLeft w:val="0"/>
      <w:marRight w:val="0"/>
      <w:marTop w:val="0"/>
      <w:marBottom w:val="0"/>
      <w:divBdr>
        <w:top w:val="none" w:sz="0" w:space="0" w:color="auto"/>
        <w:left w:val="none" w:sz="0" w:space="0" w:color="auto"/>
        <w:bottom w:val="none" w:sz="0" w:space="0" w:color="auto"/>
        <w:right w:val="none" w:sz="0" w:space="0" w:color="auto"/>
      </w:divBdr>
    </w:div>
    <w:div w:id="704795808">
      <w:bodyDiv w:val="1"/>
      <w:marLeft w:val="0"/>
      <w:marRight w:val="0"/>
      <w:marTop w:val="0"/>
      <w:marBottom w:val="0"/>
      <w:divBdr>
        <w:top w:val="none" w:sz="0" w:space="0" w:color="auto"/>
        <w:left w:val="none" w:sz="0" w:space="0" w:color="auto"/>
        <w:bottom w:val="none" w:sz="0" w:space="0" w:color="auto"/>
        <w:right w:val="none" w:sz="0" w:space="0" w:color="auto"/>
      </w:divBdr>
    </w:div>
    <w:div w:id="787969524">
      <w:bodyDiv w:val="1"/>
      <w:marLeft w:val="0"/>
      <w:marRight w:val="0"/>
      <w:marTop w:val="0"/>
      <w:marBottom w:val="0"/>
      <w:divBdr>
        <w:top w:val="none" w:sz="0" w:space="0" w:color="auto"/>
        <w:left w:val="none" w:sz="0" w:space="0" w:color="auto"/>
        <w:bottom w:val="none" w:sz="0" w:space="0" w:color="auto"/>
        <w:right w:val="none" w:sz="0" w:space="0" w:color="auto"/>
      </w:divBdr>
    </w:div>
    <w:div w:id="877199790">
      <w:bodyDiv w:val="1"/>
      <w:marLeft w:val="0"/>
      <w:marRight w:val="0"/>
      <w:marTop w:val="0"/>
      <w:marBottom w:val="0"/>
      <w:divBdr>
        <w:top w:val="none" w:sz="0" w:space="0" w:color="auto"/>
        <w:left w:val="none" w:sz="0" w:space="0" w:color="auto"/>
        <w:bottom w:val="none" w:sz="0" w:space="0" w:color="auto"/>
        <w:right w:val="none" w:sz="0" w:space="0" w:color="auto"/>
      </w:divBdr>
    </w:div>
    <w:div w:id="1166214748">
      <w:bodyDiv w:val="1"/>
      <w:marLeft w:val="0"/>
      <w:marRight w:val="0"/>
      <w:marTop w:val="0"/>
      <w:marBottom w:val="0"/>
      <w:divBdr>
        <w:top w:val="none" w:sz="0" w:space="0" w:color="auto"/>
        <w:left w:val="none" w:sz="0" w:space="0" w:color="auto"/>
        <w:bottom w:val="none" w:sz="0" w:space="0" w:color="auto"/>
        <w:right w:val="none" w:sz="0" w:space="0" w:color="auto"/>
      </w:divBdr>
    </w:div>
    <w:div w:id="1296257944">
      <w:bodyDiv w:val="1"/>
      <w:marLeft w:val="0"/>
      <w:marRight w:val="0"/>
      <w:marTop w:val="0"/>
      <w:marBottom w:val="0"/>
      <w:divBdr>
        <w:top w:val="none" w:sz="0" w:space="0" w:color="auto"/>
        <w:left w:val="none" w:sz="0" w:space="0" w:color="auto"/>
        <w:bottom w:val="none" w:sz="0" w:space="0" w:color="auto"/>
        <w:right w:val="none" w:sz="0" w:space="0" w:color="auto"/>
      </w:divBdr>
    </w:div>
    <w:div w:id="1380397132">
      <w:bodyDiv w:val="1"/>
      <w:marLeft w:val="0"/>
      <w:marRight w:val="0"/>
      <w:marTop w:val="0"/>
      <w:marBottom w:val="0"/>
      <w:divBdr>
        <w:top w:val="none" w:sz="0" w:space="0" w:color="auto"/>
        <w:left w:val="none" w:sz="0" w:space="0" w:color="auto"/>
        <w:bottom w:val="none" w:sz="0" w:space="0" w:color="auto"/>
        <w:right w:val="none" w:sz="0" w:space="0" w:color="auto"/>
      </w:divBdr>
    </w:div>
    <w:div w:id="1402100721">
      <w:bodyDiv w:val="1"/>
      <w:marLeft w:val="0"/>
      <w:marRight w:val="0"/>
      <w:marTop w:val="0"/>
      <w:marBottom w:val="0"/>
      <w:divBdr>
        <w:top w:val="none" w:sz="0" w:space="0" w:color="auto"/>
        <w:left w:val="none" w:sz="0" w:space="0" w:color="auto"/>
        <w:bottom w:val="none" w:sz="0" w:space="0" w:color="auto"/>
        <w:right w:val="none" w:sz="0" w:space="0" w:color="auto"/>
      </w:divBdr>
    </w:div>
    <w:div w:id="1438018139">
      <w:bodyDiv w:val="1"/>
      <w:marLeft w:val="0"/>
      <w:marRight w:val="0"/>
      <w:marTop w:val="0"/>
      <w:marBottom w:val="0"/>
      <w:divBdr>
        <w:top w:val="none" w:sz="0" w:space="0" w:color="auto"/>
        <w:left w:val="none" w:sz="0" w:space="0" w:color="auto"/>
        <w:bottom w:val="none" w:sz="0" w:space="0" w:color="auto"/>
        <w:right w:val="none" w:sz="0" w:space="0" w:color="auto"/>
      </w:divBdr>
    </w:div>
    <w:div w:id="1448935528">
      <w:bodyDiv w:val="1"/>
      <w:marLeft w:val="0"/>
      <w:marRight w:val="0"/>
      <w:marTop w:val="0"/>
      <w:marBottom w:val="0"/>
      <w:divBdr>
        <w:top w:val="none" w:sz="0" w:space="0" w:color="auto"/>
        <w:left w:val="none" w:sz="0" w:space="0" w:color="auto"/>
        <w:bottom w:val="none" w:sz="0" w:space="0" w:color="auto"/>
        <w:right w:val="none" w:sz="0" w:space="0" w:color="auto"/>
      </w:divBdr>
    </w:div>
    <w:div w:id="1456606112">
      <w:bodyDiv w:val="1"/>
      <w:marLeft w:val="0"/>
      <w:marRight w:val="0"/>
      <w:marTop w:val="0"/>
      <w:marBottom w:val="0"/>
      <w:divBdr>
        <w:top w:val="none" w:sz="0" w:space="0" w:color="auto"/>
        <w:left w:val="none" w:sz="0" w:space="0" w:color="auto"/>
        <w:bottom w:val="none" w:sz="0" w:space="0" w:color="auto"/>
        <w:right w:val="none" w:sz="0" w:space="0" w:color="auto"/>
      </w:divBdr>
    </w:div>
    <w:div w:id="1533300643">
      <w:bodyDiv w:val="1"/>
      <w:marLeft w:val="0"/>
      <w:marRight w:val="0"/>
      <w:marTop w:val="0"/>
      <w:marBottom w:val="0"/>
      <w:divBdr>
        <w:top w:val="none" w:sz="0" w:space="0" w:color="auto"/>
        <w:left w:val="none" w:sz="0" w:space="0" w:color="auto"/>
        <w:bottom w:val="none" w:sz="0" w:space="0" w:color="auto"/>
        <w:right w:val="none" w:sz="0" w:space="0" w:color="auto"/>
      </w:divBdr>
    </w:div>
    <w:div w:id="1794667950">
      <w:bodyDiv w:val="1"/>
      <w:marLeft w:val="0"/>
      <w:marRight w:val="0"/>
      <w:marTop w:val="0"/>
      <w:marBottom w:val="0"/>
      <w:divBdr>
        <w:top w:val="none" w:sz="0" w:space="0" w:color="auto"/>
        <w:left w:val="none" w:sz="0" w:space="0" w:color="auto"/>
        <w:bottom w:val="none" w:sz="0" w:space="0" w:color="auto"/>
        <w:right w:val="none" w:sz="0" w:space="0" w:color="auto"/>
      </w:divBdr>
    </w:div>
    <w:div w:id="1815413180">
      <w:bodyDiv w:val="1"/>
      <w:marLeft w:val="0"/>
      <w:marRight w:val="0"/>
      <w:marTop w:val="0"/>
      <w:marBottom w:val="0"/>
      <w:divBdr>
        <w:top w:val="none" w:sz="0" w:space="0" w:color="auto"/>
        <w:left w:val="none" w:sz="0" w:space="0" w:color="auto"/>
        <w:bottom w:val="none" w:sz="0" w:space="0" w:color="auto"/>
        <w:right w:val="none" w:sz="0" w:space="0" w:color="auto"/>
      </w:divBdr>
    </w:div>
    <w:div w:id="1949584178">
      <w:bodyDiv w:val="1"/>
      <w:marLeft w:val="0"/>
      <w:marRight w:val="0"/>
      <w:marTop w:val="0"/>
      <w:marBottom w:val="0"/>
      <w:divBdr>
        <w:top w:val="none" w:sz="0" w:space="0" w:color="auto"/>
        <w:left w:val="none" w:sz="0" w:space="0" w:color="auto"/>
        <w:bottom w:val="none" w:sz="0" w:space="0" w:color="auto"/>
        <w:right w:val="none" w:sz="0" w:space="0" w:color="auto"/>
      </w:divBdr>
    </w:div>
    <w:div w:id="1980258606">
      <w:bodyDiv w:val="1"/>
      <w:marLeft w:val="0"/>
      <w:marRight w:val="0"/>
      <w:marTop w:val="0"/>
      <w:marBottom w:val="0"/>
      <w:divBdr>
        <w:top w:val="none" w:sz="0" w:space="0" w:color="auto"/>
        <w:left w:val="none" w:sz="0" w:space="0" w:color="auto"/>
        <w:bottom w:val="none" w:sz="0" w:space="0" w:color="auto"/>
        <w:right w:val="none" w:sz="0" w:space="0" w:color="auto"/>
      </w:divBdr>
    </w:div>
    <w:div w:id="20944711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14</Pages>
  <Words>4870</Words>
  <Characters>27765</Characters>
  <Application>Microsoft Office Word</Application>
  <DocSecurity>0</DocSecurity>
  <Lines>231</Lines>
  <Paragraphs>65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9</cp:revision>
  <dcterms:created xsi:type="dcterms:W3CDTF">2022-06-15T04:14:00Z</dcterms:created>
  <dcterms:modified xsi:type="dcterms:W3CDTF">2022-06-16T01:42:00Z</dcterms:modified>
</cp:coreProperties>
</file>