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1. NATIONAL TERRITORY AND PLACES OF LIFE</w:t>
      </w:r>
    </w:p>
    <w:p>
      <w:pPr>
        <w:pStyle w:val="0"/>
        <w:widowControl w:val="off"/>
        <w:rPr>
          <w:color w:val="000000"/>
          <w:sz w:val="32"/>
        </w:rPr>
      </w:pPr>
    </w:p>
    <w:p>
      <w:pPr>
        <w:pStyle w:val="0"/>
        <w:widowControl w:val="off"/>
      </w:pPr>
      <w:r>
        <w:rPr>
          <w:sz w:val="28"/>
        </w:rPr>
        <w:t>1-4. Sustainable Land Development</w:t>
      </w:r>
    </w:p>
    <w:p>
      <w:pPr>
        <w:pStyle w:val="0"/>
        <w:widowControl w:val="off"/>
        <w:rPr/>
      </w:pPr>
    </w:p>
    <w:p>
      <w:pPr>
        <w:pStyle w:val="0"/>
        <w:widowControl w:val="off"/>
      </w:pPr>
      <w:r>
        <w:rPr/>
        <w:t xml:space="preserve">  In 1960, the population of the Seoul Metropolitan Area was approximately 20.8% of Korea’'s entire population. Thirty years later in 1990, the share more than doubled to 42.8%, and by 2010, it reached 48.9%. Almost half of Korea’'s entire population now lives in the Seoul Metropolitan Area. In addition, most socioeconomic indicators such as gross regional domestic product (GRDP), number of businesses, and number of service firms show that the Seoul Metropolitan Area accounts for 50% of the entire country. Furthermore, the concentration of financial services</w:t>
      </w:r>
      <w:r>
        <w:rPr/>
        <w:t>—</w:t>
      </w:r>
      <w:r>
        <w:rPr/>
        <w:t>total deposits and total loans</w:t>
      </w:r>
      <w:r>
        <w:rPr/>
        <w:t>—</w:t>
      </w:r>
      <w:r>
        <w:rPr/>
        <w:t>far exceeds 50% and is almost 70%. Approximately 40% of higher education institutions are located in and around</w:t>
      </w:r>
    </w:p>
    <w:p>
      <w:pPr>
        <w:pStyle w:val="0"/>
        <w:widowControl w:val="off"/>
      </w:pPr>
      <w:r>
        <w:rPr/>
        <w:t>Seoul. Since the 1960s, the Korean Government has pursued policies to mitigate the concentration of people and capital in the Seoul Metropolitan Area, and has promoted policies reflecting more balanced development. Policies to prevent overcrowding in metropolitan areas were adopted in the 1960s, followed by policies to reduce concentration in the Seoul Metropolitan Area in the 1970s. Despite these efforts, people continued to move to Seoul well into the 1980s. In 1982, the “"Seoul Metropolitan Area Readjustment Planning Act”" was enacted, followed by the First Capital Region Readjustment Plan (1984 - 1996) in 1984</w:t>
      </w:r>
      <w:r>
        <w:rPr/>
        <w:t>—</w:t>
      </w:r>
      <w:r>
        <w:rPr/>
        <w:t xml:space="preserve">both of which provided a comprehensive development framework with legal binding force. In the 1990s, Korea’'s territorial plans were amended as the autonomy of the local governments was restored. In this context, the First and Second Capital Region Readjustment Plans were announced, in 1994 and 1997, respectively. As the Second Capital Region Readjustment Plan (1997 - 2011) was approved and introduced, new ideas about planning and development were emerging, and the Third Capital Region Readjustment Plan (2006 </w:t>
      </w:r>
      <w:r>
        <w:rPr/>
        <w:t>–</w:t>
      </w:r>
      <w:r>
        <w:rPr/>
        <w:t xml:space="preserve"> 2020) was prepared well before the target year 2006. This plan heeded calls for deregulation and brought about a paradigm shift in local development.</w:t>
      </w:r>
    </w:p>
    <w:p>
      <w:pPr>
        <w:pStyle w:val="0"/>
        <w:widowControl w:val="off"/>
        <w:rPr/>
      </w:pPr>
    </w:p>
    <w:p>
      <w:pPr>
        <w:pStyle w:val="0"/>
        <w:widowControl w:val="off"/>
      </w:pPr>
      <w:r>
        <w:rPr/>
        <w:t>&lt;graph&gt; Concentration in Seoul Capital Area</w:t>
      </w:r>
    </w:p>
    <w:p>
      <w:r>
        <w:br w:type="page"/>
      </w:r>
    </w:p>
    <w:p>
      <w:pPr>
        <w:pStyle w:val="0"/>
        <w:widowControl w:val="off"/>
        <w:wordWrap w:val="1"/>
        <w:spacing w:line="0" w:lineRule="atLeast"/>
        <w:jc w:val="left"/>
      </w:pPr>
      <w:r>
        <w:rPr>
          <w:b/>
          <w:sz w:val="24"/>
        </w:rPr>
        <w:t>Regional Development Policies</w:t>
      </w:r>
    </w:p>
    <w:p>
      <w:pPr>
        <w:pStyle w:val="0"/>
        <w:widowControl w:val="off"/>
        <w:rPr>
          <w:b/>
          <w:color w:val="000000"/>
          <w:sz w:val="24"/>
        </w:rPr>
      </w:pPr>
    </w:p>
    <w:p>
      <w:pPr>
        <w:pStyle w:val="0"/>
        <w:widowControl w:val="off"/>
      </w:pPr>
      <w:r>
        <w:rPr/>
        <w:t>&lt;drawing&gt; Development Plan for Coastal and Interior Regions</w:t>
      </w:r>
    </w:p>
    <w:p>
      <w:pPr>
        <w:pStyle w:val="0"/>
        <w:widowControl w:val="off"/>
      </w:pPr>
      <w:r>
        <w:rPr/>
        <w:t>&lt;drawing&gt; Growth Promotion Area</w:t>
      </w:r>
    </w:p>
    <w:p>
      <w:pPr>
        <w:pStyle w:val="0"/>
        <w:widowControl w:val="off"/>
      </w:pPr>
      <w:r>
        <w:rPr/>
        <w:t>&lt;table&gt; Balanced Development Policy</w:t>
      </w:r>
    </w:p>
    <w:p>
      <w:pPr>
        <w:pStyle w:val="0"/>
        <w:widowControl w:val="off"/>
      </w:pPr>
      <w:r>
        <w:rPr/>
        <w:t>&lt;table&gt; Growth Regulations for Seoul Metropolitan Area</w:t>
      </w:r>
    </w:p>
    <w:p>
      <w:pPr>
        <w:pStyle w:val="0"/>
        <w:widowControl w:val="off"/>
      </w:pPr>
      <w:r>
        <w:rPr/>
        <w:t>&lt;table&gt; Growth Promotion Area</w:t>
      </w:r>
    </w:p>
    <w:p>
      <w:pPr>
        <w:pStyle w:val="0"/>
        <w:widowControl w:val="off"/>
      </w:pPr>
      <w:r>
        <w:rPr/>
        <w:t xml:space="preserve">&lt;drawing&gt; Seoul Metropolitan Area Readjustment Plan (2006 </w:t>
      </w:r>
      <w:r>
        <w:rPr/>
        <w:t>–</w:t>
      </w:r>
      <w:r>
        <w:rPr/>
        <w:t xml:space="preserve"> 2020)</w:t>
      </w:r>
    </w:p>
    <w:p>
      <w:pPr>
        <w:pStyle w:val="0"/>
        <w:widowControl w:val="off"/>
        <w:rPr/>
      </w:pPr>
    </w:p>
    <w:p>
      <w:pPr>
        <w:pStyle w:val="0"/>
        <w:widowControl w:val="off"/>
      </w:pPr>
      <w:r>
        <w:rPr/>
        <w:t xml:space="preserve">  The Coastal Region refers to multiple local governments along the coasts. It was designated in the Comprehensive Plan for Developing Coastal Areas, supported by the “Special Act on Developing Coastal and Inland Regions.” The plan originally only included development plans for coastal regions. However, inland regions were</w:t>
      </w:r>
    </w:p>
    <w:p>
      <w:pPr>
        <w:pStyle w:val="0"/>
        <w:widowControl w:val="off"/>
      </w:pPr>
      <w:r>
        <w:rPr/>
        <w:t>later added.</w:t>
      </w:r>
    </w:p>
    <w:p>
      <w:pPr>
        <w:pStyle w:val="0"/>
        <w:widowControl w:val="off"/>
      </w:pPr>
      <w:r>
        <w:rPr/>
        <w:t xml:space="preserve">  Seoul Metropolitan Area Readjustment Regions (Growth Control Regions) are areas designated to reduce the concentration of population and industries in the Seoul Metropolitan Area. They are based on the “Seoul Metropolitan Area Readjustment Planning Act” (Article 6) and its executive ordinance (Article 9), which divides the Seoul Metropolitan Area into three regions.</w:t>
      </w:r>
    </w:p>
    <w:p>
      <w:pPr>
        <w:pStyle w:val="0"/>
        <w:widowControl w:val="off"/>
      </w:pPr>
      <w:r>
        <w:rPr/>
        <w:t xml:space="preserve">  Overcrowding Restriction Region: a region with overcrowding, or expected to be overcrowded and in need of readjustment or relocation of facilities.</w:t>
      </w:r>
    </w:p>
    <w:p>
      <w:pPr>
        <w:pStyle w:val="0"/>
        <w:widowControl w:val="off"/>
      </w:pPr>
      <w:r>
        <w:rPr/>
        <w:t xml:space="preserve">  Growth Control Region: a region that accommodates relocated people or facilities from the Overcrowding Restriction Region. Locations of industries and urban development are carefully managed. Nature Conservation Region: a region where the natural environment needs to be conserved, for example, the green space and water bodies of the Hangang River system.</w:t>
      </w:r>
    </w:p>
    <w:p>
      <w:pPr>
        <w:pStyle w:val="0"/>
        <w:widowControl w:val="off"/>
      </w:pPr>
      <w:r>
        <w:rPr/>
        <w:t xml:space="preserve">  By Presidential Decree of the Special Act on Balanced National Development, Growth Promotion Area refers to an area requiring special support from the national and local government for the construction of infrastructure necessary to promote its economic and social growth, such as road and water supply systems, because of its poor living conditions and considerably underdeveloped local economy.</w:t>
      </w:r>
    </w:p>
    <w:p>
      <w:pPr>
        <w:pStyle w:val="0"/>
        <w:widowControl w:val="off"/>
      </w:pPr>
      <w:r>
        <w:rPr/>
        <w:t xml:space="preserve">  A Growth Promotion Area is co-designated by the ministers of both the Ministry of the Interior and the Ministry of Land, Infrastructure and Transportation based on the area’s income, population, and financial standing, among other factors. The first Growth Promotion Area was designated in June of 2009. As of September 2014, 70 -si/-gun areas had been designated as Growth Promotion Areas. Once designated, an area retains that status for five years and is also entitled to full financial support (100% government subsidies.</w:t>
      </w:r>
    </w:p>
    <w:p>
      <w:r>
        <w:br w:type="page"/>
      </w:r>
    </w:p>
    <w:p>
      <w:pPr>
        <w:pStyle w:val="0"/>
        <w:widowControl w:val="off"/>
        <w:wordWrap w:val="1"/>
        <w:spacing w:line="0" w:lineRule="atLeast"/>
        <w:jc w:val="left"/>
      </w:pPr>
      <w:r>
        <w:rPr>
          <w:b/>
          <w:sz w:val="24"/>
        </w:rPr>
        <w:t>Regional Development Plans</w:t>
      </w:r>
    </w:p>
    <w:p>
      <w:pPr>
        <w:pStyle w:val="0"/>
        <w:widowControl w:val="off"/>
        <w:rPr>
          <w:b/>
          <w:color w:val="000000"/>
          <w:sz w:val="24"/>
        </w:rPr>
      </w:pPr>
    </w:p>
    <w:p>
      <w:pPr>
        <w:pStyle w:val="0"/>
        <w:widowControl w:val="off"/>
      </w:pPr>
      <w:r>
        <w:rPr/>
        <w:t>&lt;drawing&gt; Regional Development Plans</w:t>
      </w:r>
    </w:p>
    <w:p>
      <w:pPr>
        <w:pStyle w:val="0"/>
        <w:widowControl w:val="off"/>
        <w:rPr/>
      </w:pPr>
    </w:p>
    <w:p>
      <w:pPr>
        <w:pStyle w:val="0"/>
        <w:widowControl w:val="off"/>
      </w:pPr>
      <w:r>
        <w:rPr/>
        <w:t xml:space="preserve">  The regional development plan is a statutory plan defined in the “Special Act on Balanced National Development”(enacted in 2004). In 2009, the plan was reorganized from the Five-Year Plan for Balanced National Development to a Five-Year Regional Development Plan. The early balanced development plans focused on relocating public institutions in the Seoul Metropolitan Area to different</w:t>
      </w:r>
    </w:p>
    <w:p>
      <w:pPr>
        <w:pStyle w:val="0"/>
        <w:widowControl w:val="off"/>
      </w:pPr>
      <w:r>
        <w:rPr/>
        <w:t>provinces for balanced development, as well as constructing the Multifunctional Administrative City (Sejong-si) and innovation cities. These efforts aimed at creating regional innovation clusters.</w:t>
      </w:r>
    </w:p>
    <w:p>
      <w:pPr>
        <w:pStyle w:val="0"/>
        <w:widowControl w:val="off"/>
      </w:pPr>
      <w:r>
        <w:rPr/>
        <w:t xml:space="preserve">  The First Regional Development Plan, prepared in 2009, presented a vision of linking “+2”economic regions for better cooperation and growth. Specific policies to build economic growth momentum included building techno-parks, innovation clusters, and talent development centers. A flagship project appropriate for each economic region was implemented. The Second Regional Development Plan, prepared in 2014, focuses on improving the quality of life for residents in step with the HOPE (Happiness, Opportunity, Partnership, Everywhere) Project announced in 2013.</w:t>
      </w:r>
    </w:p>
    <w:p>
      <w:pPr>
        <w:pStyle w:val="0"/>
        <w:widowControl w:val="off"/>
        <w:rPr/>
      </w:pPr>
    </w:p>
    <w:p>
      <w:pPr>
        <w:pStyle w:val="0"/>
        <w:widowControl w:val="off"/>
      </w:pPr>
      <w:r>
        <w:rPr/>
        <w:t xml:space="preserve">&lt;drawing&gt; Plans for Innovation Cities within the First National Balanced </w:t>
      </w:r>
    </w:p>
    <w:p>
      <w:pPr>
        <w:pStyle w:val="0"/>
        <w:widowControl w:val="off"/>
      </w:pPr>
      <w:r>
        <w:rPr/>
        <w:t xml:space="preserve">           Development Plan (2004)</w:t>
      </w:r>
    </w:p>
    <w:p>
      <w:pPr>
        <w:pStyle w:val="0"/>
        <w:widowControl w:val="off"/>
      </w:pPr>
      <w:r>
        <w:rPr/>
        <w:t>- Chungbuk Innovation City</w:t>
      </w:r>
    </w:p>
    <w:p>
      <w:pPr>
        <w:pStyle w:val="0"/>
        <w:widowControl w:val="off"/>
      </w:pPr>
      <w:r>
        <w:rPr/>
        <w:t>- Chungnam Innovation City</w:t>
      </w:r>
    </w:p>
    <w:p>
      <w:pPr>
        <w:pStyle w:val="0"/>
        <w:widowControl w:val="off"/>
      </w:pPr>
      <w:r>
        <w:rPr/>
        <w:t>- Jeonbuk Innovation City</w:t>
      </w:r>
    </w:p>
    <w:p>
      <w:pPr>
        <w:pStyle w:val="0"/>
        <w:widowControl w:val="off"/>
      </w:pPr>
      <w:r>
        <w:rPr/>
        <w:t>- Gwangju/Jeonnam Innovation City</w:t>
      </w:r>
    </w:p>
    <w:p>
      <w:pPr>
        <w:pStyle w:val="0"/>
        <w:widowControl w:val="off"/>
      </w:pPr>
      <w:r>
        <w:rPr/>
        <w:t>- Gangwon Innovation City</w:t>
      </w:r>
    </w:p>
    <w:p>
      <w:pPr>
        <w:pStyle w:val="0"/>
        <w:widowControl w:val="off"/>
      </w:pPr>
      <w:r>
        <w:rPr/>
        <w:t>- Gyeongbuk Innovation City</w:t>
      </w:r>
    </w:p>
    <w:p>
      <w:pPr>
        <w:pStyle w:val="0"/>
        <w:widowControl w:val="off"/>
      </w:pPr>
      <w:r>
        <w:rPr/>
        <w:t>- Daegu Innovation City</w:t>
      </w:r>
    </w:p>
    <w:p>
      <w:pPr>
        <w:pStyle w:val="0"/>
        <w:widowControl w:val="off"/>
      </w:pPr>
      <w:r>
        <w:rPr/>
        <w:t>- Ulsan Innovation City</w:t>
      </w:r>
    </w:p>
    <w:p>
      <w:pPr>
        <w:pStyle w:val="0"/>
        <w:widowControl w:val="off"/>
      </w:pPr>
      <w:r>
        <w:rPr/>
        <w:t>- Jeju Innovation City</w:t>
      </w:r>
    </w:p>
    <w:p>
      <w:pPr>
        <w:pStyle w:val="0"/>
        <w:widowControl w:val="off"/>
      </w:pPr>
      <w:r>
        <w:rPr/>
        <w:t>- Gyeongnam Innovation City</w:t>
      </w:r>
    </w:p>
    <w:p>
      <w:pPr>
        <w:pStyle w:val="0"/>
        <w:widowControl w:val="off"/>
      </w:pPr>
      <w:r>
        <w:rPr/>
        <w:t>- Busan Innovation City</w:t>
      </w:r>
    </w:p>
    <w:p>
      <w:pPr>
        <w:pStyle w:val="0"/>
        <w:widowControl w:val="off"/>
        <w:rPr/>
      </w:pPr>
    </w:p>
    <w:p>
      <w:pPr>
        <w:pStyle w:val="0"/>
        <w:widowControl w:val="off"/>
      </w:pPr>
      <w:r>
        <w:rPr/>
        <w:t>&lt;drawing&gt; The First Regional Development Plan (2009) - 163 Basic Settlement Areas</w:t>
      </w:r>
    </w:p>
    <w:p>
      <w:pPr>
        <w:pStyle w:val="0"/>
        <w:widowControl w:val="off"/>
      </w:pPr>
      <w:r>
        <w:rPr/>
        <w:t xml:space="preserve">&lt;drawing&gt; The First Regional Development Plan (2009) - 5+2 Mega Economic </w:t>
      </w:r>
    </w:p>
    <w:p>
      <w:pPr>
        <w:pStyle w:val="0"/>
        <w:widowControl w:val="off"/>
      </w:pPr>
      <w:r>
        <w:tab/>
        <w:rPr/>
        <w:t xml:space="preserve">   Regions</w:t>
      </w:r>
    </w:p>
    <w:p>
      <w:pPr>
        <w:pStyle w:val="0"/>
        <w:widowControl w:val="off"/>
      </w:pPr>
      <w:r>
        <w:rPr/>
        <w:t>&lt;drawing&gt; The First Regional Development Plan (2009) - Supra-Economic Regions</w:t>
      </w:r>
    </w:p>
    <w:p>
      <w:pPr>
        <w:pStyle w:val="0"/>
        <w:widowControl w:val="off"/>
      </w:pPr>
      <w:r>
        <w:rPr/>
        <w:t xml:space="preserve">&lt;drawing&gt; 5+2 Mega Economic Region Concepts for Cities/Provinces - Talent </w:t>
      </w:r>
    </w:p>
    <w:p>
      <w:pPr>
        <w:pStyle w:val="0"/>
        <w:widowControl w:val="off"/>
      </w:pPr>
      <w:r>
        <w:tab/>
        <w:rPr/>
        <w:t xml:space="preserve">   Development Centers &amp; Development of Industrial Hubs</w:t>
      </w:r>
    </w:p>
    <w:p>
      <w:pPr>
        <w:pStyle w:val="0"/>
        <w:widowControl w:val="off"/>
        <w:rPr/>
      </w:pPr>
    </w:p>
    <w:p>
      <w:pPr>
        <w:pStyle w:val="0"/>
        <w:widowControl w:val="off"/>
      </w:pPr>
      <w:r>
        <w:rPr/>
        <w:t>&lt;table&gt; The Second Regional Development Plan with Specific Element Plans (2014)</w:t>
      </w:r>
    </w:p>
    <w:p>
      <w:pPr>
        <w:pStyle w:val="0"/>
        <w:widowControl w:val="off"/>
      </w:pPr>
      <w:r>
        <w:rPr/>
        <w:t>&lt;drawing&gt; HOPE Area - Urban HOPE Area</w:t>
      </w:r>
    </w:p>
    <w:p>
      <w:pPr>
        <w:pStyle w:val="0"/>
        <w:widowControl w:val="off"/>
      </w:pPr>
      <w:r>
        <w:rPr/>
        <w:t>&lt;drawing&gt; HOPE Area - Urban-Rural HOPE Area</w:t>
      </w:r>
    </w:p>
    <w:p>
      <w:pPr>
        <w:pStyle w:val="0"/>
        <w:widowControl w:val="off"/>
      </w:pPr>
      <w:r>
        <w:rPr/>
        <w:t>&lt;drawing&gt; HOPE Area - Rural HOPE Area</w:t>
      </w:r>
    </w:p>
    <w:p>
      <w:pPr>
        <w:pStyle w:val="0"/>
        <w:widowControl w:val="off"/>
        <w:rPr/>
      </w:pPr>
    </w:p>
    <w:p>
      <w:pPr>
        <w:pStyle w:val="0"/>
        <w:widowControl w:val="off"/>
      </w:pPr>
      <w:r>
        <w:rPr/>
        <w:t xml:space="preserve">  A HOPE area is composed of multiple local governments and supports projects initiated through collaborations between the neighboring local governments. The HOPE projects pursue eliminating inconveniences strategically and improving quality of life for residents, thereby providing a new experience through enhanced governmental cooperation.</w:t>
      </w:r>
    </w:p>
    <w:p>
      <w:pPr>
        <w:pStyle w:val="0"/>
        <w:widowControl w:val="off"/>
      </w:pPr>
      <w:r>
        <w:rPr/>
        <w:t xml:space="preserve">  HOPE areas are further divided into “Urban HOPE Areas” in urban settings, “Urban-Rural HOPE Areas” where urban and rural areas affect each other closely, and “Rural HOPE Areas” where agriculture or fishing remains the dominant industry. However, specific -si/-gun/-gu districts can cross boundaries and spread over many types of HOPE areas as means of transportation improve and a polycentric metropolis emerges.</w:t>
      </w:r>
    </w:p>
    <w:p>
      <w:pPr>
        <w:pStyle w:val="0"/>
        <w:widowControl w:val="off"/>
        <w:rPr/>
      </w:pPr>
    </w:p>
    <w:p>
      <w:pPr>
        <w:pStyle w:val="0"/>
        <w:widowControl w:val="off"/>
      </w:pPr>
      <w:r>
        <w:rPr/>
        <w:t>&lt;table&gt; The Second Regional Development Plan with Specific Element Plans (2014)</w:t>
      </w:r>
    </w:p>
    <w:p>
      <w:pPr>
        <w:pStyle w:val="0"/>
        <w:widowControl w:val="off"/>
        <w:rPr/>
      </w:pPr>
    </w:p>
    <w:p>
      <w:pPr>
        <w:pStyle w:val="0"/>
        <w:widowControl w:val="off"/>
      </w:pPr>
      <w:r>
        <w:rPr/>
        <w:t>- Incheon Vision : Develop as Strategic Hub of East Asia's Service Industries, with Focus on High Value Services for Economic Growth and Job Creation.</w:t>
      </w:r>
    </w:p>
    <w:p>
      <w:pPr>
        <w:pStyle w:val="0"/>
        <w:widowControl w:val="off"/>
      </w:pPr>
      <w:r>
        <w:rPr/>
        <w:t>- Gyeonggi-do Vision : Develop DMZ Area as the Mecca of Eco/Cultural Tourism, Providing Comprehensive Experiences of Ecology, History, Culture, National Security, and Tourism Resources.</w:t>
      </w:r>
    </w:p>
    <w:p>
      <w:pPr>
        <w:pStyle w:val="0"/>
        <w:widowControl w:val="off"/>
      </w:pPr>
      <w:r>
        <w:rPr/>
        <w:t>- Gangwon-do Vision : Foster "Health &amp; Life" Industries, with Worldwide Trend of Aging Society and Shift in Health Paradigm from "Live Longer" to "Live Healthy" to "Live Beautifully.</w:t>
      </w:r>
    </w:p>
    <w:p>
      <w:pPr>
        <w:pStyle w:val="0"/>
        <w:widowControl w:val="off"/>
      </w:pPr>
      <w:r>
        <w:rPr/>
        <w:t>- Chungcheongbuk-do Vision : 'Build World-Class Biomedical Hub, with the Goal of</w:t>
      </w:r>
    </w:p>
    <w:p>
      <w:pPr>
        <w:pStyle w:val="0"/>
        <w:widowControl w:val="off"/>
      </w:pPr>
      <w:r>
        <w:rPr/>
        <w:t>Becoming One of World's Three Bio Clusters by Year 2030.</w:t>
      </w:r>
    </w:p>
    <w:p>
      <w:pPr>
        <w:pStyle w:val="0"/>
        <w:widowControl w:val="off"/>
      </w:pPr>
      <w:r>
        <w:rPr/>
        <w:t>- Chungcheongnam-do Vision : Contribute to Development of Creative Economy and New Growth Engine by R&amp;D in Flexible Electronics and Convergence of Industries.</w:t>
      </w:r>
    </w:p>
    <w:p>
      <w:pPr>
        <w:pStyle w:val="0"/>
        <w:widowControl w:val="off"/>
      </w:pPr>
      <w:r>
        <w:rPr/>
        <w:t>- Daejeon Vision : Develop Next-Generation Growth Engine and Creative Economy by Building New Industries, New Markets, and New Services in Defense Industry.</w:t>
      </w:r>
    </w:p>
    <w:p>
      <w:pPr>
        <w:pStyle w:val="0"/>
        <w:widowControl w:val="off"/>
      </w:pPr>
      <w:r>
        <w:rPr/>
        <w:t>- Jeollabuk-do Vision : Develop Specialized Bio-Convergence Fields into a Successful Model of Creative Economy to Foster New Industries and Jobs.</w:t>
      </w:r>
    </w:p>
    <w:p>
      <w:pPr>
        <w:pStyle w:val="0"/>
        <w:widowControl w:val="off"/>
      </w:pPr>
      <w:r>
        <w:rPr/>
        <w:t>- Gwangju Vision : Become Asia's City of Culture with Global Market Competitiveness in the "Contents Industry," which is Emerging as the Core of Future Growth Engine.</w:t>
      </w:r>
    </w:p>
    <w:p>
      <w:pPr>
        <w:pStyle w:val="0"/>
        <w:widowControl w:val="off"/>
      </w:pPr>
      <w:r>
        <w:rPr/>
        <w:t>- Jeollanam-do Vision : Develop Northeast Asia's Hub of Maritime Culture &amp; Tourism with Growth of Pan Yello Rim Economic Region and Number of Marine Tourists.</w:t>
      </w:r>
    </w:p>
    <w:p>
      <w:pPr>
        <w:pStyle w:val="0"/>
        <w:widowControl w:val="off"/>
      </w:pPr>
      <w:r>
        <w:rPr/>
        <w:t>- Gyeongsangbuk-do Vision : Build an Ecosystem of Industries in the IT Convergence Field, the Essential Core Element to Achieve Creative Economy and Development of New Growth Engine.</w:t>
      </w:r>
    </w:p>
    <w:p>
      <w:pPr>
        <w:pStyle w:val="0"/>
        <w:widowControl w:val="off"/>
      </w:pPr>
      <w:r>
        <w:rPr/>
        <w:t>- Daegu Vision : Develop Local IT/Software Industry to Become the Hub City Leading the Quantum Jump of Korea's Software Industry with Software Convergence.</w:t>
      </w:r>
    </w:p>
    <w:p>
      <w:pPr>
        <w:pStyle w:val="0"/>
        <w:widowControl w:val="off"/>
      </w:pPr>
      <w:r>
        <w:rPr/>
        <w:t>- Ulsan Vision : Become the City of Hydrogen Vehicles, with Specialized Infrastructure for R&amp;D and Supply of Hydrogen Vehicles, including Production of World's First Hydrogen Fuel Batteries.</w:t>
      </w:r>
    </w:p>
    <w:p>
      <w:pPr>
        <w:pStyle w:val="0"/>
        <w:widowControl w:val="off"/>
      </w:pPr>
      <w:r>
        <w:rPr/>
        <w:t>- Busan Vision : Develop Advanced Film Industry as Future Growth Engine, and Build Platform for Cultural Prosperity and Creative Economy.</w:t>
      </w:r>
    </w:p>
    <w:p>
      <w:pPr>
        <w:pStyle w:val="0"/>
        <w:widowControl w:val="off"/>
      </w:pPr>
      <w:r>
        <w:rPr/>
        <w:t>- Gyeongsangnam-do Vision : Develop Advanced Aerospace Industry into the Future Growth Engine for the Next 50 Years, Building the Foundation for Creative Economy.</w:t>
      </w:r>
    </w:p>
    <w:p>
      <w:pPr>
        <w:pStyle w:val="0"/>
        <w:widowControl w:val="off"/>
      </w:pPr>
      <w:r>
        <w:rPr/>
        <w:t>- Jeju Vision : Develop World's First Lava Water Industry into Jeju's Creative Industry by Packaging with "Primary Industry+Manufacturing+Healthcare+Tourism".</w:t>
      </w:r>
    </w:p>
    <w:p>
      <w:pPr>
        <w:pStyle w:val="0"/>
        <w:widowControl w:val="off"/>
        <w:rPr/>
      </w:pPr>
    </w:p>
    <w:p>
      <w:pPr>
        <w:pStyle w:val="0"/>
        <w:widowControl w:val="off"/>
      </w:pPr>
      <w:r>
        <w:rPr/>
        <w:t xml:space="preserve">  Through a bottom-up process, a total of 15 projects and 80 sub-projects at the -si/-do district levels have been selected as Regional Specialization Projects. The selection process comprehensively considered local characteristics and visions, as well as the compatibility of the projects with the local development strategy and the impact on the local economy. The goal of the Regional Specialization Projects is to integrate them with a balanced development plan and regional development plan led by the national government, to guarantee consistency of local policies and promote more efficient budget operation and project effectiveness.</w:t>
      </w:r>
    </w:p>
    <w:p>
      <w:pPr>
        <w:pStyle w:val="0"/>
        <w:widowControl w:val="off"/>
      </w:pPr>
      <w:r>
        <w:rPr/>
        <w:t xml:space="preserve">  Based on a local industrial base and growth potential into the future, 15 specialization projects have been selected to lead the nation. To ensure that local industrial development drives new employment opportunities and the creation of an industrial ecosystem, 16 economic cooperation regions and 63 key industry support systems have been established. The goals are to increase the number of employment opportunities and the productivity of local traditional industries, the software industry, and local industries with connections to cities, with increasing support from locally-based institutions. To enhance local competitiveness, strategies including deregulation, policy improvement, and better incentives have been reviewed to build growth potential at the centers of local economy and industries.</w:t>
      </w:r>
    </w:p>
    <w:p>
      <w:pPr>
        <w:pStyle w:val="0"/>
        <w:widowControl w:val="off"/>
        <w:rPr/>
      </w:pPr>
    </w:p>
    <w:p>
      <w:pPr>
        <w:pStyle w:val="0"/>
        <w:widowControl w:val="off"/>
      </w:pPr>
      <w:r>
        <w:rPr/>
        <w:t>&lt;drawing&gt; Creative Regional Development Projects</w:t>
      </w:r>
    </w:p>
    <w:p>
      <w:pPr>
        <w:pStyle w:val="0"/>
        <w:widowControl w:val="off"/>
      </w:pPr>
      <w:r>
        <w:rPr/>
        <w:t>&lt;table&gt; Creative Regional Development Projects (2011</w:t>
      </w:r>
      <w:r>
        <w:rPr/>
        <w:t>–</w:t>
      </w:r>
      <w:r>
        <w:rPr/>
        <w:t>2016)</w:t>
      </w:r>
    </w:p>
    <w:p>
      <w:pPr>
        <w:pStyle w:val="0"/>
        <w:widowControl w:val="off"/>
      </w:pPr>
      <w:r>
        <w:rPr/>
        <w:t>&lt;table&gt; Creative Regional Development Projects (2016)</w:t>
      </w:r>
    </w:p>
    <w:p>
      <w:pPr>
        <w:pStyle w:val="0"/>
        <w:widowControl w:val="off"/>
        <w:rPr/>
      </w:pPr>
    </w:p>
    <w:p>
      <w:pPr>
        <w:pStyle w:val="0"/>
        <w:widowControl w:val="off"/>
      </w:pPr>
      <w:r>
        <w:rPr/>
        <w:t xml:space="preserve">  To overcome the limits of regional development approaches that focus on hardware, since 2011 the Presidential Committee on Regional Development (PCRD) has been supporting creative regional projects that utilize local resources. The Committee has been supporting approximately ten projects each year since 2011. The projects were autonomously prepared by different -si/-gun/-gu districts, and the Committee organized an advisory council of experts and interested parties to assist and enhance the business capability of local residents. The Committee aims to utilize both tangible and intangible local assets in order to improve quality of life for local residents and strengthen the sense of community. Over the long-term, the goal is to build a foundation for sustainable regional development.</w:t>
      </w:r>
    </w:p>
    <w:p>
      <w:pPr>
        <w:pStyle w:val="0"/>
        <w:widowControl w:val="off"/>
        <w:rPr/>
      </w:pPr>
    </w:p>
    <w:p>
      <w:pPr>
        <w:pStyle w:val="0"/>
        <w:widowControl w:val="off"/>
      </w:pPr>
      <w:r>
        <w:rPr/>
        <w:t xml:space="preserve">&lt;drawing&gt; Designated Regional Specialization Clusters - Commercialization of Local </w:t>
      </w:r>
    </w:p>
    <w:p>
      <w:pPr>
        <w:pStyle w:val="0"/>
        <w:widowControl w:val="off"/>
      </w:pPr>
      <w:r>
        <w:rPr/>
        <w:t xml:space="preserve">           Resources</w:t>
      </w:r>
    </w:p>
    <w:p>
      <w:pPr>
        <w:pStyle w:val="0"/>
        <w:widowControl w:val="off"/>
      </w:pPr>
      <w:r>
        <w:rPr/>
        <w:t>&lt;drawing&gt; Designated Regional Specialization Clusters - Tourism/Leisure</w:t>
      </w:r>
    </w:p>
    <w:p>
      <w:pPr>
        <w:pStyle w:val="0"/>
        <w:widowControl w:val="off"/>
      </w:pPr>
      <w:r>
        <w:rPr/>
        <w:t>&lt;drawing&gt; Designated Regional Specialization Clusters - Education</w:t>
      </w:r>
    </w:p>
    <w:p>
      <w:pPr>
        <w:pStyle w:val="0"/>
        <w:widowControl w:val="off"/>
      </w:pPr>
      <w:r>
        <w:rPr/>
        <w:t>&lt;drawing&gt; Designated Regional Specialization Clusters - Industrial R&amp;D</w:t>
      </w:r>
    </w:p>
    <w:p>
      <w:pPr>
        <w:pStyle w:val="0"/>
        <w:widowControl w:val="off"/>
      </w:pPr>
      <w:r>
        <w:rPr/>
        <w:t>&lt;drawing&gt; Designated Regional Specialization Clusters - Medical/Welfare</w:t>
      </w:r>
    </w:p>
    <w:p>
      <w:pPr>
        <w:pStyle w:val="0"/>
        <w:widowControl w:val="off"/>
        <w:rPr/>
      </w:pPr>
    </w:p>
    <w:p>
      <w:pPr>
        <w:pStyle w:val="0"/>
        <w:widowControl w:val="off"/>
      </w:pPr>
      <w:r>
        <w:rPr/>
        <w:t xml:space="preserve">  A Special Economic Zone for Specialized Regional Development refers to an area voluntarily designated for application of specialized development strategies by the local government. It is based on the “ct on Special Cases Concerning the Regulation of the Special Economic Zones for Specialized Regional Development,”which enables supporting differentiated and specialized projects, conceptualized and initiated by the local governments without any guidance or project prototype from the national government. The local government pursues regulation reform autonomously. The introduction of Special Economic Zones for Specialized Regional Development recognizes the need for regulations to be different depending on local conditions.</w:t>
      </w:r>
    </w:p>
    <w:p>
      <w:pPr>
        <w:pStyle w:val="0"/>
        <w:widowControl w:val="off"/>
        <w:rPr/>
      </w:pPr>
    </w:p>
    <w:p>
      <w:pPr>
        <w:pStyle w:val="0"/>
        <w:widowControl w:val="off"/>
      </w:pPr>
      <w:r>
        <w:rPr/>
        <w:t>&lt;graph&gt; Designation of Regional Specialization Clusters</w:t>
      </w:r>
    </w:p>
    <w:p>
      <w:pPr>
        <w:pStyle w:val="0"/>
        <w:widowControl w:val="off"/>
      </w:pPr>
      <w:r>
        <w:rPr/>
        <w:t>&lt;table&gt; Regional Specialization Clusters</w:t>
      </w:r>
    </w:p>
    <w:p>
      <w:pPr>
        <w:pStyle w:val="0"/>
        <w:widowControl w:val="off"/>
        <w:rPr/>
      </w:pPr>
    </w:p>
    <w:p>
      <w:pPr>
        <w:pStyle w:val="0"/>
        <w:widowControl w:val="off"/>
      </w:pPr>
      <w:r>
        <w:rPr/>
        <w:t>&lt;drawing&gt; Revitalization District in Closed Mine Area   Until the late 1980s, increasing coal demand led to increasing numbers of mines and mine workers. However, it also brought various socio-environmental problems, such as insufficient infrastructure and poor health environments due to coal dust. The national government, in this context, has funded various living environment improvement projects for miners since 1975. However, coal demand has dropped sharply since 1987, and mining towns have since declined. This has resulted in ghost towns in some locations. In 1991, the “oal Mining Act”was amended to implement comprehensive development plans at a regional scale. According to the law, the designation of a Mining Area Development District is possible by the request of the local government governor or mayor. In May 1991, four -si and -gun districts (Taebaek-si, Jeongseon-gun, Yeongwol-gun, and Samcheok-si) were designated as Mining Area Development Districts.</w:t>
      </w:r>
    </w:p>
    <w:p>
      <w:pPr>
        <w:pStyle w:val="0"/>
        <w:widowControl w:val="off"/>
      </w:pPr>
      <w:r>
        <w:rPr/>
        <w:t xml:space="preserve">  In 1995, a Revitalization District for Closed Mining Area was designated based on the “pecial Act for Supporting Closed Mining Area Development.”</w:t>
      </w:r>
    </w:p>
    <w:p>
      <w:pPr>
        <w:pStyle w:val="0"/>
        <w:widowControl w:val="off"/>
        <w:rPr/>
      </w:pPr>
    </w:p>
    <w:p>
      <w:pPr>
        <w:pStyle w:val="0"/>
        <w:widowControl w:val="off"/>
      </w:pPr>
      <w:r>
        <w:rPr/>
        <w:t>&lt;drawing, table&gt; R&amp;D Clusters</w:t>
      </w:r>
    </w:p>
    <w:p>
      <w:pPr>
        <w:pStyle w:val="0"/>
        <w:widowControl w:val="off"/>
        <w:rPr/>
      </w:pPr>
    </w:p>
    <w:p>
      <w:pPr>
        <w:pStyle w:val="0"/>
        <w:widowControl w:val="off"/>
      </w:pPr>
      <w:r>
        <w:rPr/>
        <w:t xml:space="preserve">  R&amp;D cluster projects build innovation clusters led by research Free Economic Zones and development, where new knowledge in science and technology is created, transferred, and applied efficiently and productively. The goal is to create knowledge assets, which in turn are operationalized to become Korea’ future growth engine.</w:t>
      </w:r>
    </w:p>
    <w:p>
      <w:pPr>
        <w:pStyle w:val="0"/>
        <w:widowControl w:val="off"/>
      </w:pPr>
      <w:r>
        <w:rPr/>
        <w:t xml:space="preserve">  The R&amp;D cluster began in the 1970s with the construction of Daedeok Science Town. The environment for research improved as government-funded research institutions, including Korea Research Institute of Standards and Science (KRISS) and Korea Atomic Energy Research Institute (KAERI), moved to Daedeok-gu. In the</w:t>
      </w:r>
    </w:p>
    <w:p>
      <w:pPr>
        <w:pStyle w:val="0"/>
        <w:widowControl w:val="off"/>
      </w:pPr>
      <w:r>
        <w:rPr/>
        <w:t>1990s, Korea Advanced Institute of Science &amp; Technology (KAIST) and private sector research institutes, including Daelim Technology R&amp;D Institute and Honam Petrochemical Corporation Research Institute, also moved to Daedeok-gu, building a platform for fullscale industry-academia-research cooperation.</w:t>
      </w:r>
    </w:p>
    <w:p>
      <w:pPr>
        <w:pStyle w:val="0"/>
        <w:widowControl w:val="off"/>
      </w:pPr>
      <w:r>
        <w:rPr/>
        <w:t xml:space="preserve">  In 2003, the national government prepared a plan with a vision to develop an R&amp;D hub for the entire region of Northeast Asia while celebrating the 30th anniversary of the establishment of Daedeok Science Town. This led to the enactment of the “pecial Act on Developing Daedeok Special R&amp;D District”in 2005. In accordance with Article 4 of the Executive Order of the Special Act, Daedeok R&amp;D cluster designation now included Daedeok Research Park (27.8 km2), Daedeok Techno Valley (4.3 km2), Daedeok Industrial Park (3.2 km2), the greenbelt area in Buk-gu (28.6 km2), and the Agency for Defense Development area (3.9 km2)</w:t>
      </w:r>
      <w:r>
        <w:rPr/>
        <w:t>—</w:t>
      </w:r>
      <w:r>
        <w:rPr/>
        <w:t xml:space="preserve"> total area of 67.8 km2. The cluster encompasses 32 dongs in Daejeon’ Yuseong-gu and Daedeok-gu. </w:t>
      </w:r>
    </w:p>
    <w:p>
      <w:pPr>
        <w:pStyle w:val="0"/>
        <w:widowControl w:val="off"/>
      </w:pPr>
      <w:r>
        <w:rPr/>
        <w:t xml:space="preserve">  In the second phase of the R&amp;D cluster project, key locations across the country have been designated as R&amp;D clusters since 2011. Currently, there are five R&amp;D clusters, with the recent additions of Gwangju (2011) and Daegu (2011), Busan (2012), and Jeollabuk-do (2015) R&amp;D clusters.</w:t>
      </w:r>
    </w:p>
    <w:p>
      <w:pPr>
        <w:pStyle w:val="0"/>
        <w:widowControl w:val="off"/>
        <w:rPr/>
      </w:pPr>
    </w:p>
    <w:p>
      <w:pPr>
        <w:pStyle w:val="0"/>
        <w:widowControl w:val="off"/>
      </w:pPr>
      <w:r>
        <w:rPr/>
        <w:t>&lt;drawing&gt; Free Economic Zones</w:t>
      </w:r>
    </w:p>
    <w:p>
      <w:pPr>
        <w:pStyle w:val="0"/>
        <w:widowControl w:val="off"/>
      </w:pPr>
      <w:r>
        <w:rPr/>
        <w:t>&lt;drawing&gt; Evolution of Supported Local Industries</w:t>
      </w:r>
    </w:p>
    <w:p>
      <w:pPr>
        <w:pStyle w:val="0"/>
        <w:widowControl w:val="off"/>
      </w:pPr>
      <w:r>
        <w:rPr/>
        <w:t>&lt;table&gt; Designation of Free Economic Zones</w:t>
      </w:r>
    </w:p>
    <w:p>
      <w:pPr>
        <w:pStyle w:val="0"/>
        <w:widowControl w:val="off"/>
      </w:pPr>
      <w:r>
        <w:rPr/>
        <w:t>&lt;drawing&gt; Distribution of Economic Cooperation Regions</w:t>
      </w:r>
    </w:p>
    <w:p>
      <w:pPr>
        <w:pStyle w:val="0"/>
        <w:widowControl w:val="off"/>
      </w:pPr>
      <w:r>
        <w:rPr/>
        <w:t>&lt;graph&gt; Designation of Free Economic Zones</w:t>
      </w:r>
    </w:p>
    <w:p>
      <w:pPr>
        <w:pStyle w:val="0"/>
        <w:widowControl w:val="off"/>
        <w:rPr/>
      </w:pPr>
    </w:p>
    <w:p>
      <w:pPr>
        <w:pStyle w:val="0"/>
        <w:widowControl w:val="off"/>
      </w:pPr>
      <w:r>
        <w:rPr/>
        <w:t xml:space="preserve">  Local industrial policies follow two principles: constructing local industrial base facilities and developing projects to support businesses. The gap between the number of secondary industry businesses in the Seoul Metropolitan Area and the non-Seoul metropolitan area continues to widen, from 159,860 and 2,072 in 2008 to 184,545 and 6,854 in 2012. Despite local industrial policies, local leading industries remain vulnerable due to their dependence on an industrial environment centered in the Seoul Metropolitan Area.</w:t>
      </w:r>
    </w:p>
    <w:p>
      <w:pPr>
        <w:pStyle w:val="0"/>
        <w:widowControl w:val="off"/>
      </w:pPr>
      <w:r>
        <w:rPr/>
        <w:t xml:space="preserve">  The support system to foster industries has changed often over the past few years. In 2012, there were strategic, specialization, and leading industries; in 2013, new specialization and leading industries; in 2014, new specialization, leading, economic cooperation region, and traditional industries. Projects were pursued based on the needs at different periods. Also, implementation of projects within certain administrative boundaries failed to consider the continuously changing definition of economic regions. At the same time, deterioration of industrial complexes that at one time formed a local area’ economic base also diminishes policy effectiveness within an administrative boundary.</w:t>
      </w:r>
    </w:p>
    <w:p>
      <w:pPr>
        <w:pStyle w:val="0"/>
        <w:widowControl w:val="off"/>
      </w:pPr>
      <w:r>
        <w:rPr/>
        <w:t xml:space="preserve">  To overcome these issues, the Korean Government’ local industrial policies in 2014 introduced the Local Industries Development Plan (2014-2018) with the following principles: First, project implementation follows a medium-to long-term roadmap; second, collaboration occurs in which the local area leads and the national government supports; third, a comprehensive strategy is prepared to support local industries. This plan analyzes the competitiveness of major manufacturing and service industries in local areas, and presents 63 key projects, 39 collaborative projects, and 39 locally based projects that have been selected. In particular, the Plan introduces the concept of industrial cooperation regions, based on demand for cooperation among -si/-do districts where given businesses are located. This enables policies that foster local industries beyond the administrative boundaries.</w:t>
      </w:r>
    </w:p>
    <w:p>
      <w:pPr>
        <w:pStyle w:val="0"/>
        <w:widowControl w:val="off"/>
      </w:pPr>
      <w:r>
        <w:rPr/>
        <w:t xml:space="preserve">  Free economic zones are created to improve the investment climate for foreign businesses and living conditions for foreigners. As Korea’ potential growth rate decreased in the early 2000s, the “ct on Designation and Management of Free Economic Zones”(Free Economic Zone Act) was enacted after a discussion to enhance competitiveness at the national level began. Under this law, incentives including exemptions of tax and regulations are offered, as well as special benefits to facilitate the settlement of foreigners. Four zones were designated in 2003: Incheon, Busan, Jinhae-si, and Gwangyangman. Repeated amendments of the Act attempted to change zone designation eligibility, relax building restrictions, and ease regulations to permit foreign medical institutions inside the zones. In 2009, the Act was upgraded as the “pecial Act on Designation and Management of Free Economic Zones”(Free Economic Zone Act). As of December 2015, there are free economic zones in the Incheon, Busan/Jinhae-si, Gwangyangman, Hwanghae, Daegu/Gyeongsangbuk-do, Saemangeum/Gunsan-si, East Coast, and Chung cheongbuk-do regions.</w:t>
      </w:r>
    </w:p>
    <w:p>
      <w:r>
        <w:br w:type="page"/>
      </w:r>
    </w:p>
    <w:p>
      <w:pPr>
        <w:pStyle w:val="0"/>
        <w:widowControl w:val="off"/>
        <w:wordWrap w:val="1"/>
        <w:spacing w:line="0" w:lineRule="atLeast"/>
        <w:jc w:val="left"/>
      </w:pPr>
      <w:r>
        <w:rPr>
          <w:b/>
          <w:sz w:val="24"/>
        </w:rPr>
        <w:t>Making the National Territory Safer</w:t>
      </w:r>
    </w:p>
    <w:p>
      <w:pPr>
        <w:pStyle w:val="0"/>
        <w:widowControl w:val="off"/>
        <w:rPr>
          <w:b/>
          <w:color w:val="000000"/>
          <w:sz w:val="24"/>
        </w:rPr>
      </w:pPr>
    </w:p>
    <w:p>
      <w:pPr>
        <w:pStyle w:val="0"/>
        <w:widowControl w:val="off"/>
      </w:pPr>
      <w:r>
        <w:rPr/>
        <w:t xml:space="preserve">&lt;table&gt; Local Governments with a First-Class Local Safety Index Rating in Each </w:t>
      </w:r>
    </w:p>
    <w:p>
      <w:pPr>
        <w:pStyle w:val="0"/>
        <w:widowControl w:val="off"/>
      </w:pPr>
      <w:r>
        <w:tab/>
        <w:rPr/>
        <w:t>Category</w:t>
      </w:r>
    </w:p>
    <w:p>
      <w:pPr>
        <w:pStyle w:val="0"/>
        <w:widowControl w:val="off"/>
        <w:rPr/>
      </w:pPr>
    </w:p>
    <w:p>
      <w:pPr>
        <w:pStyle w:val="0"/>
        <w:widowControl w:val="off"/>
      </w:pPr>
      <w:r>
        <w:rPr/>
        <w:t xml:space="preserve">  Determining the level of safety in an area is a prerequisite for making the national territory safer. In this context, the Ministry of Public Safety and Security announced a local safety index for all local governments in November 2015. The index quantifies the safety level of a given area, using official statistics collected by the government in accordance with Article 66 of the “ramework Act on the Management of Disasters and Safety.” Specifically, areas were categorized into five safety classes by examining seven fields</w:t>
      </w:r>
      <w:r>
        <w:rPr/>
        <w:t>—</w:t>
      </w:r>
      <w:r>
        <w:rPr/>
        <w:t>ires, traffic accidents, natural disasters, crimes, safety accidents, suicides, and infectious diseases. The percentiles of the five safety classes are 10, 25, 30, 25 and 10, totaling 100.</w:t>
      </w:r>
    </w:p>
    <w:p>
      <w:pPr>
        <w:pStyle w:val="0"/>
        <w:widowControl w:val="off"/>
        <w:rPr/>
      </w:pPr>
    </w:p>
    <w:p>
      <w:pPr>
        <w:pStyle w:val="0"/>
        <w:widowControl w:val="off"/>
      </w:pPr>
      <w:r>
        <w:rPr/>
        <w:t>&lt;drawing&gt; Infectious Diseases</w:t>
      </w:r>
    </w:p>
    <w:p>
      <w:pPr>
        <w:pStyle w:val="0"/>
        <w:widowControl w:val="off"/>
      </w:pPr>
      <w:r>
        <w:rPr/>
        <w:t>&lt;drawing&gt; Fires</w:t>
      </w:r>
    </w:p>
    <w:p>
      <w:pPr>
        <w:pStyle w:val="0"/>
        <w:widowControl w:val="off"/>
      </w:pPr>
      <w:r>
        <w:rPr/>
        <w:t>&lt;drawing&gt; Traffic Accidents</w:t>
      </w:r>
    </w:p>
    <w:p>
      <w:pPr>
        <w:pStyle w:val="0"/>
        <w:widowControl w:val="off"/>
      </w:pPr>
      <w:r>
        <w:rPr/>
        <w:t>&lt;drawing&gt; Safety Accidents</w:t>
      </w:r>
    </w:p>
    <w:p>
      <w:pPr>
        <w:pStyle w:val="0"/>
        <w:widowControl w:val="off"/>
      </w:pPr>
      <w:r>
        <w:rPr/>
        <w:t>&lt;drawing&gt; Natural Disasters</w:t>
      </w:r>
    </w:p>
    <w:p>
      <w:pPr>
        <w:pStyle w:val="0"/>
        <w:widowControl w:val="off"/>
      </w:pPr>
      <w:r>
        <w:rPr/>
        <w:t>&lt;drawing&gt; Suicides</w:t>
      </w:r>
    </w:p>
    <w:p>
      <w:pPr>
        <w:pStyle w:val="0"/>
        <w:widowControl w:val="off"/>
      </w:pPr>
      <w:r>
        <w:rPr/>
        <w:t>&lt;drawing&gt; Crimes</w:t>
      </w:r>
    </w:p>
    <w:p>
      <w:pPr>
        <w:pStyle w:val="0"/>
        <w:widowControl w:val="off"/>
        <w:rPr/>
      </w:pPr>
    </w:p>
    <w:p>
      <w:pPr>
        <w:pStyle w:val="0"/>
        <w:widowControl w:val="off"/>
      </w:pPr>
      <w:r>
        <w:rPr/>
        <w:t>&lt;drawing&gt; Natural Disasters (2014)</w:t>
      </w:r>
    </w:p>
    <w:p>
      <w:pPr>
        <w:pStyle w:val="0"/>
        <w:widowControl w:val="off"/>
      </w:pPr>
      <w:r>
        <w:rPr/>
        <w:t>&lt;graph&gt; Natural Disasters Property Damage and Repair Costs</w:t>
      </w:r>
    </w:p>
    <w:p>
      <w:pPr>
        <w:pStyle w:val="0"/>
        <w:widowControl w:val="off"/>
      </w:pPr>
      <w:r>
        <w:rPr/>
        <w:t>&lt;chart&gt; Natural Disasters Damage Type and Repair Funding Sources</w:t>
      </w:r>
    </w:p>
    <w:p>
      <w:pPr>
        <w:pStyle w:val="0"/>
        <w:widowControl w:val="off"/>
        <w:rPr/>
      </w:pPr>
    </w:p>
    <w:p>
      <w:pPr>
        <w:pStyle w:val="0"/>
        <w:widowControl w:val="off"/>
      </w:pPr>
      <w:r>
        <w:rPr/>
        <w:t xml:space="preserve">  Korea’ natural disasters fall into four major categories. In 2014, there were 15 heavy rains, 4 heavy snows, 3 typhoons, and 1 windstorm. In total, there were 23 events that caused major damage. Based on property damage, Busan accounted for 52% of all damages at 95.1 billion won, followed by Gyeongsangnam-do (32.6 billion</w:t>
      </w:r>
    </w:p>
    <w:p>
      <w:pPr>
        <w:pStyle w:val="0"/>
        <w:widowControl w:val="off"/>
      </w:pPr>
      <w:r>
        <w:rPr/>
        <w:t>won, 18%) and Chungcheongnam-do (13.6 billion won, 7%). These three metropolitan cities and provinces suffered almost 80% of all property damage.</w:t>
      </w:r>
    </w:p>
    <w:p>
      <w:pPr>
        <w:pStyle w:val="0"/>
        <w:widowControl w:val="off"/>
      </w:pPr>
      <w:r>
        <w:rPr/>
        <w:t xml:space="preserve">  The repair cost was 507.1 billion won in 2014, approximately 2.8 times the property damage value of 180 billion won. The funding for repairs was provided by the national government (58%), the local governments (24%), and the victims.</w:t>
      </w:r>
    </w:p>
    <w:p>
      <w:pPr>
        <w:pStyle w:val="0"/>
        <w:widowControl w:val="off"/>
        <w:rPr/>
      </w:pPr>
    </w:p>
    <w:p>
      <w:pPr>
        <w:pStyle w:val="0"/>
        <w:widowControl w:val="off"/>
      </w:pPr>
      <w:r>
        <w:rPr/>
        <w:t>&lt;drawing&gt; Heavy Rains</w:t>
      </w:r>
    </w:p>
    <w:p>
      <w:pPr>
        <w:pStyle w:val="0"/>
        <w:widowControl w:val="off"/>
      </w:pPr>
      <w:r>
        <w:rPr/>
        <w:t>&lt;drawing&gt; Heavy Snows</w:t>
      </w:r>
    </w:p>
    <w:p>
      <w:pPr>
        <w:pStyle w:val="0"/>
        <w:widowControl w:val="off"/>
      </w:pPr>
      <w:r>
        <w:rPr/>
        <w:t>&lt;drawing&gt; Typhoons</w:t>
      </w:r>
    </w:p>
    <w:p>
      <w:r>
        <w:br w:type="page"/>
      </w:r>
    </w:p>
    <w:p>
      <w:pPr>
        <w:pStyle w:val="0"/>
        <w:widowControl w:val="off"/>
        <w:wordWrap w:val="1"/>
        <w:spacing w:line="0" w:lineRule="atLeast"/>
        <w:jc w:val="left"/>
      </w:pPr>
      <w:r>
        <w:rPr>
          <w:b/>
          <w:sz w:val="24"/>
        </w:rPr>
        <w:t>Safety and Emergency Rescue</w:t>
      </w:r>
    </w:p>
    <w:p>
      <w:pPr>
        <w:pStyle w:val="0"/>
        <w:widowControl w:val="off"/>
        <w:rPr>
          <w:b/>
          <w:color w:val="000000"/>
          <w:sz w:val="24"/>
        </w:rPr>
      </w:pPr>
    </w:p>
    <w:p>
      <w:pPr>
        <w:pStyle w:val="0"/>
        <w:widowControl w:val="off"/>
      </w:pPr>
      <w:r>
        <w:rPr/>
        <w:t>&lt;drawing, graph&gt; Fires</w:t>
      </w:r>
    </w:p>
    <w:p>
      <w:pPr>
        <w:pStyle w:val="0"/>
        <w:widowControl w:val="off"/>
      </w:pPr>
      <w:r>
        <w:rPr/>
        <w:t>&lt;drawing, graph&gt; Industrial Accidents</w:t>
      </w:r>
    </w:p>
    <w:p>
      <w:pPr>
        <w:pStyle w:val="0"/>
        <w:widowControl w:val="off"/>
      </w:pPr>
      <w:r>
        <w:rPr/>
        <w:t>&lt;drawing, graph&gt; Maritime Distress Incidents</w:t>
      </w:r>
    </w:p>
    <w:p>
      <w:pPr>
        <w:pStyle w:val="0"/>
        <w:widowControl w:val="off"/>
        <w:rPr/>
      </w:pPr>
    </w:p>
    <w:p>
      <w:pPr>
        <w:pStyle w:val="0"/>
        <w:widowControl w:val="off"/>
      </w:pPr>
      <w:r>
        <w:rPr/>
        <w:t>&lt;graph&gt; Number of Rescue Activities by Year</w:t>
      </w:r>
    </w:p>
    <w:p>
      <w:pPr>
        <w:pStyle w:val="0"/>
        <w:widowControl w:val="off"/>
      </w:pPr>
      <w:r>
        <w:rPr/>
        <w:t>&lt;drawing&gt; Traffic Accidents</w:t>
      </w:r>
    </w:p>
    <w:p>
      <w:pPr>
        <w:pStyle w:val="0"/>
        <w:widowControl w:val="off"/>
      </w:pPr>
      <w:r>
        <w:rPr/>
        <w:t>&lt;chart&gt; Number of People Rescued by Place</w:t>
      </w:r>
    </w:p>
    <w:p>
      <w:pPr>
        <w:pStyle w:val="0"/>
        <w:widowControl w:val="off"/>
      </w:pPr>
      <w:r>
        <w:rPr/>
        <w:t>&lt;chart&gt; Number of People Rescued by Accident Type</w:t>
      </w:r>
    </w:p>
    <w:p>
      <w:pPr>
        <w:pStyle w:val="0"/>
        <w:widowControl w:val="off"/>
        <w:rPr/>
      </w:pPr>
    </w:p>
    <w:p>
      <w:pPr>
        <w:pStyle w:val="0"/>
        <w:widowControl w:val="off"/>
      </w:pPr>
      <w:r>
        <w:rPr/>
        <w:t xml:space="preserve">  Rescue operations are those that protect life, body, and property, and emergency medical services refers to first aid and transport to hospitals. The data on rescue operations and emergency medical services are based on situations where emergency operations centers in fire stations across the country received 119 calls and dispatched rescue squads to perform the necessary actions. The number of rescue and emergency medical service operations is on the rise, with an aging population and more people enjoying recreational activities, as well as an increase in the use of cars. In 2014, 1.68 million people were transported for medical treatment, a 56-fold increase from 30,000 in 1985. The number of people rescued reached 120,000 in 2014, twice as many as 60,000 in 2005.</w:t>
      </w:r>
    </w:p>
    <w:p>
      <w:pPr>
        <w:pStyle w:val="0"/>
        <w:widowControl w:val="off"/>
      </w:pPr>
      <w:r>
        <w:rPr/>
        <w:t xml:space="preserve">  An examination of where the accidents took place reveals that 32% of all rescues took place in homes, and 52% of all medical transport also originated from homes, indicating that the home is the primary place for requesting emergency rescue activities. By type, traffic accidents are the most common type of emergency situation at 23%, followed by “rapped in elevator”(19%), mountain climbing accidents (5%), fires (5%), and drowning accidents (3%). Annual trends indicate that while the number of traffic accidents and industrial accidents remain relatively stable, the number of fires and maritime distress incidents have increased greatly since 2007 and 2009, respectively.</w:t>
      </w:r>
    </w:p>
    <w:p>
      <w:pPr>
        <w:pStyle w:val="0"/>
        <w:widowControl w:val="off"/>
        <w:rPr/>
      </w:pPr>
    </w:p>
    <w:p>
      <w:pPr>
        <w:pStyle w:val="0"/>
        <w:widowControl w:val="off"/>
      </w:pPr>
      <w:r>
        <w:rPr/>
        <w:t>&lt;drawing&gt; Incidence of Infectious Diseases (2014)</w:t>
      </w:r>
    </w:p>
    <w:p>
      <w:pPr>
        <w:pStyle w:val="0"/>
        <w:widowControl w:val="off"/>
      </w:pPr>
      <w:r>
        <w:tab/>
        <w:rPr/>
        <w:t xml:space="preserve">  - Mumps, Scrub Typhus, Chickenpox, Tuberculosis</w:t>
      </w:r>
    </w:p>
    <w:p>
      <w:pPr>
        <w:pStyle w:val="0"/>
        <w:widowControl w:val="off"/>
      </w:pPr>
      <w:r>
        <w:rPr/>
        <w:t>&lt;table&gt; Incidence of Infectious Diseases (2014)</w:t>
      </w:r>
    </w:p>
    <w:p>
      <w:pPr>
        <w:pStyle w:val="0"/>
        <w:widowControl w:val="off"/>
      </w:pPr>
      <w:r>
        <w:rPr/>
        <w:t>&lt;graph&gt; Incidence of Infectious Diseases by Year</w:t>
      </w:r>
    </w:p>
    <w:p>
      <w:pPr>
        <w:pStyle w:val="0"/>
        <w:widowControl w:val="off"/>
      </w:pPr>
      <w:r>
        <w:rPr/>
        <w:t>&lt;drawing&gt; Number of Physicians</w:t>
      </w:r>
    </w:p>
    <w:p>
      <w:pPr>
        <w:pStyle w:val="0"/>
        <w:widowControl w:val="off"/>
        <w:rPr/>
      </w:pPr>
    </w:p>
    <w:p>
      <w:pPr>
        <w:pStyle w:val="0"/>
        <w:widowControl w:val="off"/>
      </w:pPr>
      <w:r>
        <w:rPr/>
        <w:t xml:space="preserve">  Fueled by many factors such as increased world trade and climate change, infectious diseases easily spread across the world and are being reported in Korea more often. Recent incidences of diseases such as avian influenza (H7N9) and Middle East Respiratory Syndrome (MERS) have increased public awareness as to the importance of prevention and management of infectious diseases. It is in this context that the Korea Center for Disease Control &amp; Prevention monitors outbreaks of infectious diseases through the National Infectious Disease Surveillance System (NIDSS). According to this system, the incidences of 62 nationally notifiable infectious diseases reached a peak in 1970 and have been decreasing since. The number of outbreaks peaked once again with the spread of swine flu (H1N1) in 2009, and the number of outbreaks has been gradually increasing since 2012. The number of patients who reported acute infectious diseases in 2014 reached 92,722, a 22.4% increase from 2013 with 75,733 patients. In 2014, diseases with the highest number of outbreaks were chickenpox (44,450 cases, 35%), tuberculosis (34,869 cases, 27%), mumps (25,286 cases, 20%), and scrub typhus (8,130 cases, 6%). The sum of these major diseases accounts for 88% of all who were infected.</w:t>
      </w:r>
    </w:p>
    <w:p>
      <w:r>
        <w:br w:type="page"/>
      </w:r>
    </w:p>
    <w:p>
      <w:pPr>
        <w:pStyle w:val="0"/>
        <w:widowControl w:val="off"/>
        <w:wordWrap w:val="1"/>
        <w:spacing w:line="0" w:lineRule="atLeast"/>
        <w:jc w:val="left"/>
      </w:pPr>
      <w:r>
        <w:rPr>
          <w:b/>
          <w:sz w:val="24"/>
        </w:rPr>
        <w:t>Public Safety</w:t>
      </w:r>
    </w:p>
    <w:p>
      <w:pPr>
        <w:pStyle w:val="0"/>
        <w:widowControl w:val="off"/>
        <w:rPr>
          <w:b/>
          <w:color w:val="000000"/>
          <w:sz w:val="24"/>
        </w:rPr>
      </w:pPr>
    </w:p>
    <w:p>
      <w:pPr>
        <w:pStyle w:val="0"/>
        <w:widowControl w:val="off"/>
      </w:pPr>
      <w:r>
        <w:rPr/>
        <w:t>&lt;drawing&gt; Crime Incidence (2014)</w:t>
      </w:r>
    </w:p>
    <w:p>
      <w:pPr>
        <w:pStyle w:val="0"/>
        <w:widowControl w:val="off"/>
      </w:pPr>
      <w:r>
        <w:rPr/>
        <w:t>&lt;drawing&gt; Property Crimes (2013)</w:t>
      </w:r>
    </w:p>
    <w:p>
      <w:pPr>
        <w:pStyle w:val="0"/>
        <w:widowControl w:val="off"/>
      </w:pPr>
      <w:r>
        <w:rPr/>
        <w:t>&lt;drawing&gt; Violent Crimes (2013)</w:t>
      </w:r>
    </w:p>
    <w:p>
      <w:pPr>
        <w:pStyle w:val="0"/>
        <w:widowControl w:val="off"/>
      </w:pPr>
      <w:r>
        <w:rPr/>
        <w:t>&lt;graph&gt; Crime Incidence by Year</w:t>
      </w:r>
    </w:p>
    <w:p>
      <w:pPr>
        <w:pStyle w:val="0"/>
        <w:widowControl w:val="off"/>
      </w:pPr>
      <w:r>
        <w:rPr/>
        <w:t>&lt;drawing&gt; Traffic Crimes (2013)</w:t>
      </w:r>
    </w:p>
    <w:p>
      <w:pPr>
        <w:pStyle w:val="0"/>
        <w:widowControl w:val="off"/>
      </w:pPr>
      <w:r>
        <w:rPr/>
        <w:t>&lt;drawing&gt; Lesser Violent Crimes (2013)</w:t>
      </w:r>
    </w:p>
    <w:p>
      <w:pPr>
        <w:pStyle w:val="0"/>
        <w:widowControl w:val="off"/>
        <w:rPr/>
      </w:pPr>
    </w:p>
    <w:p>
      <w:pPr>
        <w:pStyle w:val="0"/>
        <w:widowControl w:val="off"/>
      </w:pPr>
      <w:r>
        <w:rPr/>
        <w:t xml:space="preserve">  According to the Korean National Police Agency, there were 1,778,966 crime incidents in 2014, or 3,528 incidents per 100,000 persons. The four major crime categories are as follows: violent (heinous) crimes including murder, burglary, arson, and sexual crimes; property crimes including theft and fraud; less violent crimes including ones using weapons or violence; and traffic crimes including speeding, driving under the influence, and illegal parking. By region, Gyeonggi-do had the highest number of crimes (404,390 incidents), followed by Seoul (355,991 incidents) and Busan (133,755 incidents). However, on a per population (per 100,000</w:t>
      </w:r>
    </w:p>
    <w:p>
      <w:pPr>
        <w:pStyle w:val="0"/>
        <w:widowControl w:val="off"/>
      </w:pPr>
      <w:r>
        <w:rPr/>
        <w:t>persons) basis, a different picture emerges: Jeju (5,379 incidents) has the highest number of crimes per 100,000 persons, followed by Daegu (3,893 incidents) and Ulsan (3,617 incidents).</w:t>
      </w:r>
    </w:p>
    <w:p>
      <w:pPr>
        <w:pStyle w:val="0"/>
        <w:widowControl w:val="off"/>
        <w:rPr/>
      </w:pPr>
    </w:p>
    <w:p>
      <w:pPr>
        <w:pStyle w:val="0"/>
        <w:widowControl w:val="off"/>
      </w:pPr>
      <w:r>
        <w:rPr/>
        <w:t>&lt;drawing&gt; Cause of Death by Age</w:t>
      </w:r>
    </w:p>
    <w:p>
      <w:pPr>
        <w:pStyle w:val="0"/>
        <w:widowControl w:val="off"/>
      </w:pPr>
      <w:r>
        <w:rPr/>
        <w:t>&lt;graph&gt; Number of Suicides &amp; Suicide Rates by Year</w:t>
      </w:r>
    </w:p>
    <w:p>
      <w:pPr>
        <w:pStyle w:val="0"/>
        <w:widowControl w:val="off"/>
      </w:pPr>
      <w:r>
        <w:rPr/>
        <w:t>&lt;graph&gt; Number of Suicides &amp; Suicide Rates by Gender and Age</w:t>
      </w:r>
    </w:p>
    <w:p>
      <w:pPr>
        <w:pStyle w:val="0"/>
        <w:widowControl w:val="off"/>
      </w:pPr>
      <w:r>
        <w:rPr/>
        <w:t>&lt;drawing&gt; Number of Suicides &amp; Suicide Rates at -Si/-Gun/-Gu Level</w:t>
      </w:r>
    </w:p>
    <w:p>
      <w:pPr>
        <w:pStyle w:val="0"/>
        <w:widowControl w:val="off"/>
      </w:pPr>
      <w:r>
        <w:rPr/>
        <w:t>&lt;table&gt; Suicide Prevention Policy</w:t>
      </w:r>
    </w:p>
    <w:p>
      <w:pPr>
        <w:pStyle w:val="0"/>
        <w:widowControl w:val="off"/>
        <w:rPr/>
      </w:pPr>
    </w:p>
    <w:p>
      <w:pPr>
        <w:pStyle w:val="0"/>
        <w:widowControl w:val="off"/>
      </w:pPr>
      <w:r>
        <w:rPr/>
        <w:t xml:space="preserve">  The World Health Organization defines suicide as the act of deliberately killing oneself. According to Statistics Korea, the leading causes of deaths in Korea in 2014 were cancer (29%), strokes (cerebrovascular disease, 9%), heart disease (5%), and suicide (5%). Korea has a relatively high suicide rate. In particular, the suicide rate is higher in older age groups, and the rate among the elderly population is rising even higher. Also, men commit suicide more often than women. Thus, since 2015, 14 Ministries of the Korean Government (including the Ministry of Health and Welfare, the Ministry of Gender Equality and Family, and the Ministry of Education) have been working together to prevent suicides by implementing ten projects from the “Second Suicide Prevention Comprehensive Plan (2009-2013).” The local governments are also operating either suicide prevention centers or mental health</w:t>
      </w:r>
    </w:p>
    <w:p>
      <w:pPr>
        <w:pStyle w:val="0"/>
        <w:widowControl w:val="off"/>
      </w:pPr>
      <w:r>
        <w:rPr/>
        <w:t>improvement centers.</w:t>
      </w:r>
    </w:p>
    <w:p>
      <w:pPr>
        <w:pStyle w:val="0"/>
        <w:widowControl w:val="off"/>
        <w:rPr/>
      </w:pP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2017-05-22T07:00:22.558</dcterms:modified>
  <cp:version>0500.0500.01</cp:version>
</cp:coreProperties>
</file>