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1. NATIONAL TERRITORY AND PLACES OF LIFE</w:t>
      </w:r>
    </w:p>
    <w:p>
      <w:pPr>
        <w:pStyle w:val="0"/>
        <w:widowControl w:val="off"/>
        <w:rPr>
          <w:color w:val="000000"/>
          <w:sz w:val="32"/>
        </w:rPr>
      </w:pPr>
    </w:p>
    <w:p>
      <w:pPr>
        <w:pStyle w:val="0"/>
        <w:widowControl w:val="off"/>
      </w:pPr>
      <w:r>
        <w:rPr>
          <w:sz w:val="28"/>
        </w:rPr>
        <w:t>1-3. Housing</w:t>
      </w:r>
    </w:p>
    <w:p>
      <w:pPr>
        <w:pStyle w:val="0"/>
        <w:widowControl w:val="off"/>
        <w:rPr/>
      </w:pPr>
    </w:p>
    <w:p>
      <w:pPr>
        <w:pStyle w:val="0"/>
        <w:widowControl w:val="off"/>
      </w:pPr>
      <w:r>
        <w:rPr/>
        <w:t xml:space="preserve">  After the end of the Korean War (1950 </w:t>
      </w:r>
      <w:r>
        <w:rPr/>
        <w:t>–</w:t>
      </w:r>
      <w:r>
        <w:rPr/>
        <w:t xml:space="preserve"> 1953), the Korean government started housing projects as a part of post-war reconstruction efforts. Until the 1960s, strategic investment priorities were placed on rebuilding industries. Government investment in housing was therefore very small, reaching only 2.4% of GNP during the 1962 </w:t>
      </w:r>
      <w:r>
        <w:rPr/>
        <w:t>–</w:t>
      </w:r>
      <w:r>
        <w:rPr/>
        <w:t xml:space="preserve"> 1966 period and 3.0% during the 1967 </w:t>
      </w:r>
      <w:r>
        <w:rPr/>
        <w:t>–</w:t>
      </w:r>
      <w:r>
        <w:rPr/>
        <w:t xml:space="preserve"> 1971 period. During these periods, housing developments were mostly led by the private sector, and only about 13% of housing development was supported by the public sector. In the 1970s, the Korean government began to invest more heavily in housing, and established a series of necessary policies and laws. For example, the Housing Construction Promotion Act was enacted in 1973, and the Act promoted provision of “national housing” using the funds from government-owned banks or local governments. Priority to purchase was granted to people who never owned a home before, and this purchase-priority policy was maintained for more than thirty years. In addition, the national and local governments contributed to the improvement of the urban environment, with land improvement projects and residential land development projects. As a result, housing conditions in the Seoul Metropolitan Area and other metropolitan cities improved significantly from the perspective of total housing stock as well as homeowner ratios. In 1975 there were 4.734 million housing units in total. The number of total housing units in 2010 was 13.884 million, which is about a three-fold increase since 1975. In the Seoul Metropolitan Area, the number of housing units per 1,000 persons was only about 137 in 1975. It surpassed 200 in 2000, and reached 364 units by 2010 (a 2.7-fold increase from 1975), indicating that three out of every ten people own a house. Regarding the total number of housing units, the Seoul Metropolitan Area had 6.291 million houses in 2010 (45.4% of the national total). With such dramatic increases in housing supply, the housing supply ratio in the Seoul Metropolitan Area in 2010 was 99%, and, nationally, it was greater than 100%.</w:t>
      </w:r>
    </w:p>
    <w:p>
      <w:pPr>
        <w:pStyle w:val="0"/>
        <w:widowControl w:val="off"/>
        <w:rPr/>
      </w:pPr>
    </w:p>
    <w:p>
      <w:pPr>
        <w:pStyle w:val="0"/>
        <w:widowControl w:val="off"/>
      </w:pPr>
      <w:r>
        <w:rPr/>
        <w:t xml:space="preserve">&lt;graph&gt; Change in the Number of Housing Units per 1,000 Persons and Housing </w:t>
      </w:r>
    </w:p>
    <w:p>
      <w:pPr>
        <w:pStyle w:val="0"/>
        <w:widowControl w:val="off"/>
      </w:pPr>
      <w:r>
        <w:rPr/>
        <w:t xml:space="preserve">         Supply Rate</w:t>
      </w:r>
    </w:p>
    <w:p>
      <w:pPr>
        <w:pStyle w:val="0"/>
        <w:widowControl w:val="off"/>
      </w:pPr>
      <w:r>
        <w:rPr/>
        <w:t>&lt;graph&gt; Change in Total Number of Housing Units</w:t>
      </w:r>
    </w:p>
    <w:p>
      <w:pPr>
        <w:pStyle w:val="0"/>
        <w:widowControl w:val="off"/>
      </w:pPr>
      <w:r>
        <w:rPr/>
        <w:t>&lt;graph&gt; Change in Total Number of Housing Units by -Si/-Do</w:t>
      </w:r>
    </w:p>
    <w:p>
      <w:r>
        <w:br w:type="page"/>
      </w:r>
    </w:p>
    <w:p>
      <w:pPr>
        <w:pStyle w:val="0"/>
        <w:widowControl w:val="off"/>
        <w:wordWrap w:val="1"/>
        <w:spacing w:line="0" w:lineRule="atLeast"/>
        <w:jc w:val="left"/>
      </w:pPr>
      <w:r>
        <w:rPr>
          <w:b/>
          <w:sz w:val="24"/>
        </w:rPr>
        <w:t>Housing Conditions</w:t>
      </w:r>
    </w:p>
    <w:p>
      <w:pPr>
        <w:pStyle w:val="0"/>
        <w:widowControl w:val="off"/>
        <w:rPr>
          <w:b/>
          <w:color w:val="000000"/>
          <w:sz w:val="24"/>
        </w:rPr>
      </w:pPr>
    </w:p>
    <w:p>
      <w:pPr>
        <w:pStyle w:val="0"/>
        <w:widowControl w:val="off"/>
      </w:pPr>
      <w:r>
        <w:rPr/>
        <w:t>&lt;drawing&gt; Housing Distribution and Housing Supply Rate</w:t>
      </w:r>
    </w:p>
    <w:p>
      <w:r>
        <w:br w:type="page"/>
      </w:r>
    </w:p>
    <w:p>
      <w:pPr>
        <w:pStyle w:val="0"/>
        <w:widowControl w:val="off"/>
      </w:pPr>
      <w:r>
        <w:rPr>
          <w:b/>
          <w:sz w:val="24"/>
        </w:rPr>
        <w:t>Housing Types and Construction</w:t>
      </w:r>
    </w:p>
    <w:p>
      <w:pPr>
        <w:pStyle w:val="0"/>
        <w:widowControl w:val="off"/>
        <w:rPr>
          <w:b/>
          <w:color w:val="000000"/>
          <w:sz w:val="24"/>
        </w:rPr>
      </w:pPr>
    </w:p>
    <w:p>
      <w:pPr>
        <w:pStyle w:val="0"/>
        <w:widowControl w:val="off"/>
      </w:pPr>
      <w:r>
        <w:rPr/>
        <w:t xml:space="preserve">  A house is defined as a building structure and its attached land, in its entirety or part, where a household member(s) may dwell independently for an extended period of time. The National Housing Law classifies houses into two categories</w:t>
      </w:r>
      <w:r>
        <w:rPr/>
        <w:t>—</w:t>
      </w:r>
      <w:r>
        <w:rPr/>
        <w:t>detached housing and collective housing</w:t>
      </w:r>
      <w:r>
        <w:rPr/>
        <w:t>—</w:t>
      </w:r>
      <w:r>
        <w:rPr/>
        <w:t>and the Attached Table 1 of the Decree of the National Housing Law explains their definitions in detail.</w:t>
      </w:r>
    </w:p>
    <w:p>
      <w:pPr>
        <w:pStyle w:val="0"/>
        <w:widowControl w:val="off"/>
      </w:pPr>
      <w:r>
        <w:rPr/>
        <w:t xml:space="preserve">  Detached housing is further divided into general detached house, multi-dwelling detached house, and official residence categories. A unit in a general detached house must be built for long-term stay primarily for students or single employees, a non-independent dwelling unit, 330 m2 or less in building space, and not more than three stories. On the other hand, a multi-dwelling detached house unit must be no more than three stories, 660 m2 or less in building space, and able to accommodate a maximum of 19 households.</w:t>
      </w:r>
    </w:p>
    <w:p>
      <w:pPr>
        <w:pStyle w:val="0"/>
        <w:widowControl w:val="off"/>
      </w:pPr>
      <w:r>
        <w:rPr/>
        <w:t xml:space="preserve">  The collective housing category is further divided into apartment, apartment-unit-in-a-house, row house, and dormitory. Apartment-unit-in-ahouse and row house units may only be built up to four stories. The difference between the two types is that an apartment-unit-in-a-house is 660 m2 or less in building space, whereas a row house unit is 660 m2 or larger. Finally, a dormitory is a place for school students or company workers in which more than half of residents share the kitchen area. When the building classification criteria were first introduced in 1978, there were two types of legal housing</w:t>
      </w:r>
      <w:r>
        <w:rPr/>
        <w:t>—</w:t>
      </w:r>
      <w:r>
        <w:rPr/>
        <w:t xml:space="preserve">the detached house for one principal household (general single unit, official residence, and boarding house) and the collective house for multiple principal households (large multi-family house, apartment building, and dormitory). The rapid urbanization in the 1980s, however, increased demand for housing and many existing houses were illegally remodeled. In this context, the apartment-unit-in-a-house category was newly included in the collective house category, and the units in a detached house were absorbed into the detached house category in 1990. In 1999, multi-dwelling detached house units were legalized and added to the collective house inventory.     In the early 1980s, the construction of apart-ment buildings and row houses increased, while the construction of detached houses slowed down. Apartments gained huge popularity, and at least 100,000 units were newly constructed every year. By 1985, the number of apartment units built per year exceeded 150,000. The housing construction increased drastically with the development of the new towns around Seoul. The first new town project started in 1989, and about 500,000 housing units were built in 1990 alone. The massive supply of apartment housing units continued until the Asian Financial Crisis in 1997. The total number of apartment housing units built during the nine years (1989 </w:t>
      </w:r>
      <w:r>
        <w:rPr/>
        <w:t>–</w:t>
      </w:r>
      <w:r>
        <w:rPr/>
        <w:t xml:space="preserve"> 1997) was 4.211 million, or more than four times the total housing units of 1.089 million built during the 1980 </w:t>
      </w:r>
      <w:r>
        <w:rPr/>
        <w:t>–</w:t>
      </w:r>
      <w:r>
        <w:rPr/>
        <w:t xml:space="preserve"> 1989 period. After 1997, about 300,000 apartment housing units were built annually. During the 2003 </w:t>
      </w:r>
      <w:r>
        <w:rPr/>
        <w:t>–</w:t>
      </w:r>
      <w:r>
        <w:rPr/>
        <w:t xml:space="preserve"> 2008 period, the construction of apartment</w:t>
      </w:r>
    </w:p>
    <w:p>
      <w:pPr>
        <w:pStyle w:val="0"/>
        <w:widowControl w:val="off"/>
      </w:pPr>
      <w:r>
        <w:rPr/>
        <w:t>housing units increased to 400,000 units per year. It has decreased to around 300,000 units per year and remained level since the Financial Crisis in 2008. The housing construction trend was significantly impacted by the 2008 Crisis. Also during the recession, there was an increased supply of apartment-units-in-a-houses and multi-dwelling detached housing units. However, there are regional differences in the type of housing supplied in different time periods.</w:t>
      </w:r>
    </w:p>
    <w:p>
      <w:pPr>
        <w:pStyle w:val="0"/>
        <w:widowControl w:val="off"/>
        <w:rPr>
          <w:b/>
          <w:color w:val="000000"/>
          <w:sz w:val="24"/>
        </w:rPr>
      </w:pPr>
    </w:p>
    <w:p>
      <w:pPr>
        <w:pStyle w:val="0"/>
        <w:widowControl w:val="off"/>
      </w:pPr>
      <w:r>
        <w:rPr/>
        <w:t>&lt;drawing&gt; Total Number of Housing Units by Housing Type (2012)</w:t>
      </w:r>
    </w:p>
    <w:p>
      <w:pPr>
        <w:pStyle w:val="0"/>
        <w:widowControl w:val="off"/>
      </w:pPr>
      <w:r>
        <w:rPr/>
        <w:t>&lt;table&gt; Housing Types and Their Characteristics</w:t>
      </w:r>
    </w:p>
    <w:p>
      <w:pPr>
        <w:pStyle w:val="0"/>
        <w:widowControl w:val="off"/>
      </w:pPr>
      <w:r>
        <w:rPr/>
        <w:t>&lt;graph&gt; Housing Construction</w:t>
      </w:r>
    </w:p>
    <w:p>
      <w:pPr>
        <w:pStyle w:val="0"/>
        <w:widowControl w:val="off"/>
        <w:rPr/>
      </w:pPr>
    </w:p>
    <w:p>
      <w:pPr>
        <w:pStyle w:val="0"/>
        <w:widowControl w:val="off"/>
      </w:pPr>
      <w:r>
        <w:rPr/>
        <w:t xml:space="preserve">&lt;graph&gt; Total Number of Housing Units by Housing Type and Change in Number </w:t>
      </w:r>
    </w:p>
    <w:p>
      <w:pPr>
        <w:pStyle w:val="0"/>
        <w:widowControl w:val="off"/>
      </w:pPr>
      <w:r>
        <w:rPr/>
        <w:t xml:space="preserve">         of Residents - Detached Housing Apartments Row Houses </w:t>
      </w:r>
    </w:p>
    <w:p>
      <w:pPr>
        <w:pStyle w:val="0"/>
        <w:widowControl w:val="off"/>
      </w:pPr>
      <w:r>
        <w:tab/>
        <w:rPr/>
        <w:t xml:space="preserve"> Apartment-Units-in-a-House</w:t>
      </w:r>
    </w:p>
    <w:p>
      <w:pPr>
        <w:pStyle w:val="0"/>
        <w:widowControl w:val="off"/>
      </w:pPr>
      <w:r>
        <w:rPr/>
        <w:t xml:space="preserve">&lt;graph&gt; Total Number of Housing Units by Housing Type and Change in Number </w:t>
      </w:r>
    </w:p>
    <w:p>
      <w:pPr>
        <w:pStyle w:val="0"/>
        <w:widowControl w:val="off"/>
      </w:pPr>
      <w:r>
        <w:rPr/>
        <w:t xml:space="preserve">         of Residents - Apartments</w:t>
      </w:r>
    </w:p>
    <w:p>
      <w:pPr>
        <w:pStyle w:val="0"/>
        <w:widowControl w:val="off"/>
      </w:pPr>
      <w:r>
        <w:rPr/>
        <w:t xml:space="preserve">&lt;graph&gt; Total Number of Housing Units by Housing Type and Change in Number </w:t>
      </w:r>
    </w:p>
    <w:p>
      <w:pPr>
        <w:pStyle w:val="0"/>
        <w:widowControl w:val="off"/>
      </w:pPr>
      <w:r>
        <w:rPr/>
        <w:t xml:space="preserve">         of Residents - Row Houses</w:t>
      </w:r>
    </w:p>
    <w:p>
      <w:pPr>
        <w:pStyle w:val="0"/>
        <w:widowControl w:val="off"/>
      </w:pPr>
      <w:r>
        <w:rPr/>
        <w:t xml:space="preserve">&lt;graph&gt; Total Number of Housing Units by Housing Type and Change in Number </w:t>
      </w:r>
    </w:p>
    <w:p>
      <w:pPr>
        <w:pStyle w:val="0"/>
        <w:widowControl w:val="off"/>
      </w:pPr>
      <w:r>
        <w:rPr/>
        <w:t xml:space="preserve">         of Residents - Apartment-Units-in-a-House</w:t>
      </w:r>
    </w:p>
    <w:p>
      <w:pPr>
        <w:pStyle w:val="0"/>
        <w:widowControl w:val="off"/>
      </w:pPr>
      <w:r>
        <w:rPr/>
        <w:t>&lt;drawing&gt; Housing Distribution by Housing Type (2012)</w:t>
      </w:r>
    </w:p>
    <w:p>
      <w:pPr>
        <w:pStyle w:val="0"/>
        <w:widowControl w:val="off"/>
      </w:pPr>
      <w:r>
        <w:rPr/>
        <w:t xml:space="preserve">           - Detached Housing (Excluding Multi-Dwelling Detached House)</w:t>
      </w:r>
    </w:p>
    <w:p>
      <w:pPr>
        <w:pStyle w:val="0"/>
        <w:widowControl w:val="off"/>
      </w:pPr>
      <w:r>
        <w:rPr/>
        <w:t>&lt;drawing&gt; Housing Distribution by Housing Type (2012)</w:t>
      </w:r>
    </w:p>
    <w:p>
      <w:pPr>
        <w:pStyle w:val="0"/>
        <w:widowControl w:val="off"/>
      </w:pPr>
      <w:r>
        <w:rPr/>
        <w:t xml:space="preserve">           - Detached Housing (Multi-Dwelling Detached House)</w:t>
      </w:r>
    </w:p>
    <w:p>
      <w:pPr>
        <w:pStyle w:val="0"/>
        <w:widowControl w:val="off"/>
      </w:pPr>
      <w:r>
        <w:rPr/>
        <w:t>&lt;drawing&gt; Housing Distribution by Housing Type (2012)</w:t>
      </w:r>
    </w:p>
    <w:p>
      <w:pPr>
        <w:pStyle w:val="0"/>
        <w:widowControl w:val="off"/>
      </w:pPr>
      <w:r>
        <w:rPr/>
        <w:t xml:space="preserve">           - Apartment-Unit-in-a-House</w:t>
      </w:r>
    </w:p>
    <w:p>
      <w:pPr>
        <w:pStyle w:val="0"/>
        <w:widowControl w:val="off"/>
      </w:pPr>
      <w:r>
        <w:rPr/>
        <w:t>&lt;drawing&gt; Housing Distribution by Housing Type (2012)</w:t>
      </w:r>
    </w:p>
    <w:p>
      <w:pPr>
        <w:pStyle w:val="0"/>
        <w:widowControl w:val="off"/>
      </w:pPr>
      <w:r>
        <w:rPr/>
        <w:t xml:space="preserve">           - Apartments</w:t>
      </w:r>
    </w:p>
    <w:p>
      <w:pPr>
        <w:pStyle w:val="0"/>
        <w:widowControl w:val="off"/>
      </w:pPr>
      <w:r>
        <w:rPr/>
        <w:t>&lt;drawing&gt; Housing Distribution by Housing Type (2012)</w:t>
      </w:r>
    </w:p>
    <w:p>
      <w:pPr>
        <w:pStyle w:val="0"/>
        <w:widowControl w:val="off"/>
      </w:pPr>
      <w:r>
        <w:rPr/>
        <w:t xml:space="preserve">           - Row Houses</w:t>
      </w:r>
    </w:p>
    <w:p>
      <w:pPr>
        <w:pStyle w:val="0"/>
        <w:widowControl w:val="off"/>
      </w:pPr>
      <w:r>
        <w:rPr/>
        <w:t>&lt;drawing&gt; Housing Distribution by Housing Type (2012)</w:t>
      </w:r>
    </w:p>
    <w:p>
      <w:pPr>
        <w:pStyle w:val="0"/>
        <w:widowControl w:val="off"/>
      </w:pPr>
      <w:r>
        <w:rPr/>
        <w:t xml:space="preserve">           - Housing Units Inside Non-Residential Buildings</w:t>
      </w:r>
    </w:p>
    <w:p>
      <w:r>
        <w:br w:type="page"/>
      </w:r>
    </w:p>
    <w:p>
      <w:pPr>
        <w:pStyle w:val="0"/>
        <w:widowControl w:val="off"/>
        <w:wordWrap w:val="1"/>
        <w:spacing w:line="0" w:lineRule="atLeast"/>
        <w:jc w:val="left"/>
      </w:pPr>
      <w:r>
        <w:rPr>
          <w:b/>
          <w:sz w:val="24"/>
        </w:rPr>
        <w:t>Housing Distribution by Housing Types in Major Metropolitan Areas</w:t>
      </w:r>
    </w:p>
    <w:p>
      <w:pPr>
        <w:pStyle w:val="0"/>
        <w:widowControl w:val="off"/>
        <w:rPr/>
      </w:pPr>
    </w:p>
    <w:p>
      <w:pPr>
        <w:pStyle w:val="0"/>
        <w:widowControl w:val="off"/>
      </w:pPr>
      <w:r>
        <w:rPr/>
        <w:t xml:space="preserve">&lt;drawing&gt; Seoul, Incheon - Detached Housing (Excluding Multi-Dwelling Detached </w:t>
      </w:r>
    </w:p>
    <w:p>
      <w:pPr>
        <w:pStyle w:val="0"/>
        <w:widowControl w:val="off"/>
      </w:pPr>
      <w:r>
        <w:rPr/>
        <w:t xml:space="preserve">           Houses)</w:t>
      </w:r>
    </w:p>
    <w:p>
      <w:pPr>
        <w:pStyle w:val="0"/>
        <w:widowControl w:val="off"/>
      </w:pPr>
      <w:r>
        <w:rPr/>
        <w:t>&lt;drawing&gt; Seoul, Incheon - Apartments</w:t>
      </w:r>
    </w:p>
    <w:p>
      <w:pPr>
        <w:pStyle w:val="0"/>
        <w:widowControl w:val="off"/>
      </w:pPr>
      <w:r>
        <w:rPr/>
        <w:t>&lt;drawing&gt; Seoul, Incheon - Apartment-Units-in-a-House</w:t>
      </w:r>
    </w:p>
    <w:p>
      <w:pPr>
        <w:pStyle w:val="0"/>
        <w:widowControl w:val="off"/>
      </w:pPr>
      <w:r>
        <w:rPr/>
        <w:t>&lt;drawing&gt; Seoul, Incheon - Row Houses</w:t>
      </w:r>
    </w:p>
    <w:p>
      <w:pPr>
        <w:pStyle w:val="0"/>
        <w:widowControl w:val="off"/>
        <w:rPr/>
      </w:pPr>
    </w:p>
    <w:p>
      <w:pPr>
        <w:pStyle w:val="0"/>
        <w:widowControl w:val="off"/>
      </w:pPr>
      <w:r>
        <w:rPr/>
        <w:t xml:space="preserve">&lt;drawing&gt; Busan, Ulsan - Detached Housing (Excluding Multi-Dwelling Detached </w:t>
      </w:r>
    </w:p>
    <w:p>
      <w:pPr>
        <w:pStyle w:val="0"/>
        <w:widowControl w:val="off"/>
      </w:pPr>
      <w:r>
        <w:rPr/>
        <w:t xml:space="preserve">           Houses)</w:t>
      </w:r>
    </w:p>
    <w:p>
      <w:pPr>
        <w:pStyle w:val="0"/>
        <w:widowControl w:val="off"/>
      </w:pPr>
      <w:r>
        <w:rPr/>
        <w:t>&lt;drawing&gt; Busan, Ulsan - Apartments</w:t>
      </w:r>
    </w:p>
    <w:p>
      <w:pPr>
        <w:pStyle w:val="0"/>
        <w:widowControl w:val="off"/>
      </w:pPr>
      <w:r>
        <w:rPr/>
        <w:t>&lt;drawing&gt; Busan, Ulsan - Apartment-Units-in-a-House</w:t>
      </w:r>
    </w:p>
    <w:p>
      <w:pPr>
        <w:pStyle w:val="0"/>
        <w:widowControl w:val="off"/>
      </w:pPr>
      <w:r>
        <w:rPr/>
        <w:t>&lt;drawing&gt; Busan, Ulsan - Row Houses</w:t>
      </w:r>
    </w:p>
    <w:p>
      <w:pPr>
        <w:pStyle w:val="0"/>
        <w:widowControl w:val="off"/>
        <w:rPr/>
      </w:pPr>
    </w:p>
    <w:p>
      <w:pPr>
        <w:pStyle w:val="0"/>
        <w:widowControl w:val="off"/>
      </w:pPr>
      <w:r>
        <w:rPr/>
        <w:t>&lt;drawing&gt; Daegu - Detached Housing (Excluding Multi-Dwelling Detached Houses</w:t>
      </w:r>
    </w:p>
    <w:p>
      <w:pPr>
        <w:pStyle w:val="0"/>
        <w:widowControl w:val="off"/>
      </w:pPr>
      <w:r>
        <w:rPr/>
        <w:t>&lt;drawing&gt; Daegu - Apartments</w:t>
      </w:r>
    </w:p>
    <w:p>
      <w:pPr>
        <w:pStyle w:val="0"/>
        <w:widowControl w:val="off"/>
      </w:pPr>
      <w:r>
        <w:rPr/>
        <w:t>&lt;drawing&gt; Daegu - Apartment-Unit-in-a-House</w:t>
      </w:r>
    </w:p>
    <w:p>
      <w:pPr>
        <w:pStyle w:val="0"/>
        <w:widowControl w:val="off"/>
      </w:pPr>
      <w:r>
        <w:rPr/>
        <w:t>&lt;drawing&gt; Daegu - Row Houses</w:t>
      </w:r>
    </w:p>
    <w:p>
      <w:pPr>
        <w:pStyle w:val="0"/>
        <w:widowControl w:val="off"/>
        <w:rPr/>
      </w:pPr>
    </w:p>
    <w:p>
      <w:pPr>
        <w:pStyle w:val="0"/>
        <w:widowControl w:val="off"/>
      </w:pPr>
      <w:r>
        <w:rPr/>
        <w:t>&lt;drawing&gt; Gwangju - Detached Housing (Excluding Multi-Dwelling Detached Houses</w:t>
      </w:r>
    </w:p>
    <w:p>
      <w:pPr>
        <w:pStyle w:val="0"/>
        <w:widowControl w:val="off"/>
      </w:pPr>
      <w:r>
        <w:rPr/>
        <w:t>&lt;drawing&gt; Gwangju - Apartments</w:t>
      </w:r>
    </w:p>
    <w:p>
      <w:pPr>
        <w:pStyle w:val="0"/>
        <w:widowControl w:val="off"/>
      </w:pPr>
      <w:r>
        <w:rPr/>
        <w:t>&lt;drawing&gt; Gwangju - Apartment-Unit-in-a-House</w:t>
      </w:r>
    </w:p>
    <w:p>
      <w:pPr>
        <w:pStyle w:val="0"/>
        <w:widowControl w:val="off"/>
      </w:pPr>
      <w:r>
        <w:rPr/>
        <w:t>&lt;drawing&gt; Gwangju - Row Houses</w:t>
      </w:r>
    </w:p>
    <w:p>
      <w:pPr>
        <w:pStyle w:val="0"/>
        <w:widowControl w:val="off"/>
        <w:rPr/>
      </w:pPr>
    </w:p>
    <w:p>
      <w:pPr>
        <w:pStyle w:val="0"/>
        <w:widowControl w:val="off"/>
      </w:pPr>
      <w:r>
        <w:rPr/>
        <w:t xml:space="preserve">&lt;drawing&gt; Daejeon, Sejong - Detached Housing (Excluding Multi-Dwelling Detached </w:t>
      </w:r>
    </w:p>
    <w:p>
      <w:pPr>
        <w:pStyle w:val="0"/>
        <w:widowControl w:val="off"/>
      </w:pPr>
      <w:r>
        <w:rPr/>
        <w:t xml:space="preserve">           Houses</w:t>
      </w:r>
    </w:p>
    <w:p>
      <w:pPr>
        <w:pStyle w:val="0"/>
        <w:widowControl w:val="off"/>
      </w:pPr>
      <w:r>
        <w:rPr/>
        <w:t>&lt;drawing&gt; Daejeon, Sejong - Apartments</w:t>
      </w:r>
    </w:p>
    <w:p>
      <w:pPr>
        <w:pStyle w:val="0"/>
        <w:widowControl w:val="off"/>
      </w:pPr>
      <w:r>
        <w:rPr/>
        <w:t>&lt;drawing&gt; Daejeon, Sejong - Apartment-Unit-in-a-House</w:t>
      </w:r>
    </w:p>
    <w:p>
      <w:pPr>
        <w:pStyle w:val="0"/>
        <w:widowControl w:val="off"/>
      </w:pPr>
      <w:r>
        <w:rPr/>
        <w:t>&lt;drawing&gt; Daejeon, Sejong - Row Houses</w:t>
      </w:r>
    </w:p>
    <w:p>
      <w:r>
        <w:br w:type="page"/>
      </w:r>
    </w:p>
    <w:p>
      <w:pPr>
        <w:pStyle w:val="0"/>
        <w:widowControl w:val="off"/>
        <w:wordWrap w:val="1"/>
        <w:jc w:val="left"/>
      </w:pPr>
      <w:r>
        <w:rPr>
          <w:b/>
          <w:sz w:val="24"/>
        </w:rPr>
        <w:t>Housing Site Development to Supply Housing on a Massive Scale</w:t>
      </w:r>
    </w:p>
    <w:p>
      <w:pPr>
        <w:pStyle w:val="0"/>
        <w:widowControl w:val="off"/>
        <w:rPr/>
      </w:pPr>
    </w:p>
    <w:p>
      <w:pPr>
        <w:pStyle w:val="0"/>
        <w:widowControl w:val="off"/>
      </w:pPr>
      <w:r>
        <w:rPr/>
        <w:t>&lt;drawing&gt; Residential Land Development in Seoul Capital Area (2015)</w:t>
      </w:r>
    </w:p>
    <w:p>
      <w:pPr>
        <w:pStyle w:val="0"/>
        <w:widowControl w:val="off"/>
      </w:pPr>
      <w:r>
        <w:rPr/>
        <w:t xml:space="preserve">  The Housing Site Development Promotion Act was legislated in 1980 in response to increased demand for housing sites after an intense period of industrialization and urbanization during the 1970s. The law was introduced to overcome the limits of land adjustment projects and supply land for housing faster at a lower price by developing large areas in a well-planned fashion. The first sites developed under this law in 1981 include Gaepo-dong and Godeok-dong in Seoul, Allak-dong in Busan, and Songhyun-dong in Daegu. As of 2014, a total of 723 housing sites had been designated and 603 residential districts had been established since 1981.</w:t>
      </w:r>
    </w:p>
    <w:p>
      <w:pPr>
        <w:pStyle w:val="0"/>
        <w:widowControl w:val="off"/>
      </w:pPr>
      <w:r>
        <w:rPr/>
        <w:t xml:space="preserve">  Until 2014, a total of 408,144,000 m2 was developed for housing sites, representing 2.4% of the total urban land area (16,773,818,000 m2) in Korea. The number of residents who live in these housing sites reached 4.5 million households or 14.900 million people, which is 21.5% of the entire population and 23.5% of the total urban population. In sum, approximately 2 out of 10 people in Korea live in the housing sites supplied by housing site development projects. About 38.1% of housing site development projects were performed in Gyeonggi-do, which surrounds Seoul, followed by Seoul (8.5%, 34.644 million m2) and Daejeon (6.6%, 26.860 million m2).</w:t>
      </w:r>
    </w:p>
    <w:p>
      <w:pPr>
        <w:pStyle w:val="0"/>
        <w:widowControl w:val="off"/>
      </w:pPr>
      <w:r>
        <w:rPr/>
        <w:t xml:space="preserve">  Housing site development projects divide land areas into housing parcels and public facilities parcels, and land use plans are prepared according to different criteria. Housing parcels include sites for collective housing units, detached housing units, and community facilities. The proportions of these different categories are carefully planned. As of 2014, housing site development projects had provided 41.041 million m2 of detached housing sites and 126.222 million m2 of collective housing sites. The land set aside for collective housing units is overall almost 3.1 times larger than land for detached housing units. The allocation between detached and collective housing was similar between 1985 and 1990, but since then more land has been allocated for construction of collective housing units. Since 2000, the ratio of land provided for detached and collective housing has reached 2:8.</w:t>
      </w:r>
    </w:p>
    <w:p>
      <w:pPr>
        <w:pStyle w:val="0"/>
        <w:widowControl w:val="off"/>
      </w:pPr>
      <w:r>
        <w:rPr/>
        <w:t xml:space="preserve">  The ratios of land for collective housing units in Seoul and Busan are 95% and 91%, respectively, indicating high-density urban development taking place in both cities. The ratio in rural areas, where development pressure is lower, ranges between 40% and 60%, reflecting medium-low urban density.</w:t>
      </w:r>
    </w:p>
    <w:p>
      <w:pPr>
        <w:pStyle w:val="0"/>
        <w:widowControl w:val="off"/>
        <w:rPr/>
      </w:pPr>
    </w:p>
    <w:p>
      <w:pPr>
        <w:pStyle w:val="0"/>
        <w:widowControl w:val="off"/>
      </w:pPr>
      <w:r>
        <w:rPr/>
        <w:t>&lt;drawing&gt; Housing Supply Through Housing Site Development Projects (1981</w:t>
      </w:r>
      <w:r>
        <w:rPr/>
        <w:t>–</w:t>
      </w:r>
      <w:r>
        <w:rPr/>
        <w:t>2014)</w:t>
      </w:r>
    </w:p>
    <w:p>
      <w:pPr>
        <w:pStyle w:val="0"/>
        <w:widowControl w:val="off"/>
      </w:pPr>
      <w:r>
        <w:rPr/>
        <w:t>&lt;graph&gt; Total Number of Housing Units and Detached/Collective Units</w:t>
      </w:r>
    </w:p>
    <w:p>
      <w:pPr>
        <w:pStyle w:val="0"/>
        <w:widowControl w:val="off"/>
        <w:wordWrap w:val="1"/>
        <w:spacing w:line="0" w:lineRule="atLeast"/>
        <w:jc w:val="left"/>
      </w:pPr>
      <w:r>
        <w:rPr/>
        <w:t xml:space="preserve">         in Housing Site Development Projects</w:t>
      </w:r>
    </w:p>
    <w:p>
      <w:pPr>
        <w:pStyle w:val="0"/>
        <w:widowControl w:val="off"/>
      </w:pPr>
      <w:r>
        <w:rPr/>
        <w:t>&lt;table&gt; Housing Site Development in -Si/-Do</w:t>
      </w:r>
    </w:p>
    <w:p>
      <w:pPr>
        <w:pStyle w:val="0"/>
        <w:widowControl w:val="off"/>
        <w:wordWrap w:val="1"/>
        <w:spacing w:line="0" w:lineRule="atLeast"/>
        <w:jc w:val="left"/>
      </w:pPr>
      <w:r>
        <w:rPr>
          <w:b/>
          <w:sz w:val="24"/>
        </w:rPr>
        <w:t>Housing Units by Construction Year</w:t>
      </w:r>
    </w:p>
    <w:p>
      <w:pPr>
        <w:pStyle w:val="0"/>
        <w:widowControl w:val="off"/>
        <w:rPr/>
      </w:pPr>
    </w:p>
    <w:p>
      <w:pPr>
        <w:pStyle w:val="0"/>
        <w:widowControl w:val="off"/>
      </w:pPr>
      <w:r>
        <w:rPr/>
        <w:t>&lt;graph&gt; Housing Units by Construction Year (2010)</w:t>
      </w:r>
    </w:p>
    <w:p>
      <w:pPr>
        <w:pStyle w:val="0"/>
        <w:widowControl w:val="off"/>
      </w:pPr>
      <w:r>
        <w:rPr/>
        <w:t>&lt;drawing&gt; Ratio of Units Constructed Prior to 1979 (2010)</w:t>
      </w:r>
    </w:p>
    <w:p>
      <w:pPr>
        <w:pStyle w:val="0"/>
        <w:widowControl w:val="off"/>
      </w:pPr>
      <w:r>
        <w:rPr/>
        <w:t>&lt;drawing&gt; Ratio of Units Constructed between 2005 and 2010 (2010)</w:t>
      </w:r>
    </w:p>
    <w:p>
      <w:pPr>
        <w:pStyle w:val="0"/>
        <w:widowControl w:val="off"/>
        <w:rPr/>
      </w:pPr>
    </w:p>
    <w:p>
      <w:pPr>
        <w:pStyle w:val="0"/>
        <w:widowControl w:val="off"/>
      </w:pPr>
      <w:r>
        <w:rPr/>
        <w:t xml:space="preserve">  The 2010 statistics indicate that 75% of housing units were built between 1990 and 2004. Most units built during this period are apartment buildings. About 78% of total apartment buildings were built during this period. Detached houses were predominant until 1979, but apartment and apartment-unit-in-a-house units became predominant afterward, indicating a decrease in the supply of both detached houses and row houses. Housing is supplied not only by constructing new housing units but also by improving existing properties. Recently, the latter has become important as the housing supply rate has passed a critical level. Since the Urban and Residential Environment Improvement Act was enacted in 2002, four</w:t>
      </w:r>
    </w:p>
    <w:p>
      <w:pPr>
        <w:pStyle w:val="0"/>
        <w:widowControl w:val="off"/>
      </w:pPr>
      <w:r>
        <w:rPr/>
        <w:t>types of improvement projects have been implemented: area redevelopment projects, building reconstruction projects, residential environment improvement projects, and urban environment improvement projects. Area redevelopment projects aim to improve residential environments with inferior infrastructure and old or faulty buildings. These projects design an entire project area thoroughly, including not only residential buildings but also various community facilities. Building reconstruction projects are performed in areas where buildings are old or faulty while urban infrastructure is sufficient. They focus on demolishing old buildings and constructing new buildings. Residential environment improvement projects also aim at improving the residential environment where buildings are outdated or faulty. Here, the government generally provides infrastructure such as roads, and government-owned land may be used for the project free-of-charge. These are different from other projects in that they aim to improve low-income housing areas.</w:t>
      </w:r>
    </w:p>
    <w:p>
      <w:pPr>
        <w:pStyle w:val="0"/>
        <w:widowControl w:val="off"/>
        <w:rPr/>
      </w:pPr>
    </w:p>
    <w:p>
      <w:pPr>
        <w:pStyle w:val="0"/>
        <w:widowControl w:val="off"/>
      </w:pPr>
      <w:r>
        <w:rPr/>
        <w:t>&lt;drawing, graph&gt; Housing Supply through Building Reconstruction Projects</w:t>
      </w:r>
    </w:p>
    <w:p>
      <w:pPr>
        <w:pStyle w:val="0"/>
        <w:widowControl w:val="off"/>
      </w:pPr>
      <w:r>
        <w:rPr/>
        <w:t>&lt;drawing, graph&gt; Housing Supply through Area Redevelopment Projects</w:t>
      </w:r>
    </w:p>
    <w:p>
      <w:pPr>
        <w:pStyle w:val="0"/>
        <w:widowControl w:val="off"/>
      </w:pPr>
      <w:r>
        <w:rPr/>
        <w:t xml:space="preserve">&lt;drawing, graph&gt; Housing Supply through Residential Environment Improvement </w:t>
      </w:r>
    </w:p>
    <w:p>
      <w:pPr>
        <w:pStyle w:val="0"/>
        <w:widowControl w:val="off"/>
      </w:pPr>
      <w:r>
        <w:rPr/>
        <w:t xml:space="preserve">                  Projects</w:t>
      </w:r>
    </w:p>
    <w:p>
      <w:pPr>
        <w:pStyle w:val="0"/>
        <w:widowControl w:val="off"/>
        <w:wordWrap w:val="1"/>
        <w:spacing w:line="0" w:lineRule="atLeast"/>
        <w:jc w:val="left"/>
        <w:rPr>
          <w:b/>
          <w:color w:val="000000"/>
          <w:sz w:val="24"/>
        </w:rPr>
      </w:pPr>
    </w:p>
    <w:p>
      <w:r>
        <w:br w:type="page"/>
      </w:r>
    </w:p>
    <w:p>
      <w:pPr>
        <w:pStyle w:val="0"/>
        <w:widowControl w:val="off"/>
        <w:wordWrap w:val="1"/>
        <w:spacing w:line="0" w:lineRule="atLeast"/>
        <w:jc w:val="left"/>
      </w:pPr>
      <w:r>
        <w:rPr>
          <w:b/>
          <w:sz w:val="24"/>
        </w:rPr>
        <w:t>Housing Tenure Type</w:t>
      </w:r>
    </w:p>
    <w:p>
      <w:pPr>
        <w:pStyle w:val="0"/>
        <w:widowControl w:val="off"/>
        <w:rPr/>
      </w:pPr>
    </w:p>
    <w:p>
      <w:pPr>
        <w:pStyle w:val="0"/>
        <w:widowControl w:val="off"/>
      </w:pPr>
      <w:r>
        <w:rPr/>
        <w:t>&lt;drawing&gt; Housing Tenure Ratio, Owned</w:t>
      </w:r>
    </w:p>
    <w:p>
      <w:pPr>
        <w:pStyle w:val="0"/>
        <w:widowControl w:val="off"/>
      </w:pPr>
      <w:r>
        <w:rPr/>
        <w:t>&lt;drawing&gt; Housing Tenure Ratio, Exclusive Lease</w:t>
      </w:r>
    </w:p>
    <w:p>
      <w:pPr>
        <w:pStyle w:val="0"/>
        <w:widowControl w:val="off"/>
      </w:pPr>
      <w:r>
        <w:rPr/>
        <w:t>&lt;drawing&gt; Housing Tenure Ratio, Security Rent</w:t>
      </w:r>
    </w:p>
    <w:p>
      <w:pPr>
        <w:pStyle w:val="0"/>
        <w:widowControl w:val="off"/>
      </w:pPr>
      <w:r>
        <w:rPr/>
        <w:t>&lt;drawing&gt; Housing Tenure Ratio, Non-Security Rent</w:t>
      </w:r>
    </w:p>
    <w:p>
      <w:pPr>
        <w:pStyle w:val="0"/>
        <w:widowControl w:val="off"/>
      </w:pPr>
      <w:r>
        <w:rPr/>
        <w:t>&lt;drawing&gt; Housing Tenure Ratio, Prepaid Rent</w:t>
      </w:r>
    </w:p>
    <w:p>
      <w:pPr>
        <w:pStyle w:val="0"/>
        <w:widowControl w:val="off"/>
      </w:pPr>
      <w:r>
        <w:rPr/>
        <w:t>&lt;drawing&gt; Housing Tenure Ratio, Rent Free</w:t>
      </w:r>
    </w:p>
    <w:p>
      <w:pPr>
        <w:pStyle w:val="0"/>
        <w:widowControl w:val="off"/>
        <w:rPr/>
      </w:pPr>
    </w:p>
    <w:p>
      <w:pPr>
        <w:pStyle w:val="0"/>
        <w:widowControl w:val="off"/>
      </w:pPr>
      <w:r>
        <w:rPr/>
        <w:t xml:space="preserve">  Home ownership types include owned, exclusive lease, security rent, non-security rent, prepaid rent, and free rent. The "owned" type indicates a practical ownership of a house regardless of legal ownership. For example, a house with a mortgage is considered "owned" by the resident even if legal ownership is with a bank or a mortgage company. The exclusive lease type, a.k.a. "Chonse" requires a deposit of a lump-sum amount up front, but there is no monthly rent. The security rent type has a deposit of an upfront security amount and monthly rent is also paid. The non-security rent type has no security deposit up front but rent is paid monthly.   The prepaid rent type has no security deposit, but a lump sum for multiple months’ rent is prepaid, and monthly rents are deducted from the lump sum. The free rent type is rent-free and is applicable to cases such as government official residences, company housing, or free boarding at a relative’s house or other private residence.</w:t>
      </w:r>
    </w:p>
    <w:p>
      <w:pPr>
        <w:pStyle w:val="0"/>
        <w:widowControl w:val="off"/>
      </w:pPr>
      <w:r>
        <w:rPr/>
        <w:t xml:space="preserve">  The home ownership type trends show that owned homes comprises the largest proportion; owned homes are increasing in overall numbers, but decreasing in proportion. The proportion of owned homes was 84% in 1984, and decreased to 54% in 2014. The trends show increasing proportions of exclusive lease and security rent homes. In 2014, security rent homes surpassed exclusive lease homes.</w:t>
      </w:r>
    </w:p>
    <w:p>
      <w:pPr>
        <w:pStyle w:val="0"/>
        <w:widowControl w:val="off"/>
      </w:pPr>
      <w:r>
        <w:rPr/>
        <w:t xml:space="preserve">  The 2010 home ownership statistics show that owned homes accounted for the largest proportion (54.2%), followed by exclusive lease homes (21.7%) and security rent homes (18.2%). The home ownership types are also closely related to house types. Apartments account for the highest proportion of the owned home category.</w:t>
      </w:r>
    </w:p>
    <w:p>
      <w:pPr>
        <w:pStyle w:val="0"/>
        <w:widowControl w:val="off"/>
      </w:pPr>
      <w:r>
        <w:rPr/>
        <w:t>However, for exclusive lease homes and security rent homes, the proportion of detached houses is similar to or slightly higher than that of apartment style housing.</w:t>
      </w:r>
    </w:p>
    <w:p>
      <w:pPr>
        <w:pStyle w:val="0"/>
        <w:widowControl w:val="off"/>
        <w:rPr/>
      </w:pPr>
    </w:p>
    <w:p>
      <w:pPr>
        <w:pStyle w:val="0"/>
        <w:widowControl w:val="off"/>
      </w:pPr>
      <w:r>
        <w:rPr/>
        <w:t xml:space="preserve">&lt;drawing&gt; Housing Units for Sale by -Si/-Do (2001 </w:t>
      </w:r>
      <w:r>
        <w:rPr/>
        <w:t>–</w:t>
      </w:r>
      <w:r>
        <w:rPr/>
        <w:t xml:space="preserve"> 2015)</w:t>
      </w:r>
    </w:p>
    <w:p>
      <w:pPr>
        <w:pStyle w:val="0"/>
        <w:widowControl w:val="off"/>
      </w:pPr>
      <w:r>
        <w:rPr/>
        <w:t xml:space="preserve">&lt;graph&gt; Housing Units for Sale by -Si/-Do (2001 </w:t>
      </w:r>
      <w:r>
        <w:rPr/>
        <w:t>–</w:t>
      </w:r>
      <w:r>
        <w:rPr/>
        <w:t xml:space="preserve"> 2015)</w:t>
      </w:r>
    </w:p>
    <w:p>
      <w:pPr>
        <w:pStyle w:val="0"/>
        <w:widowControl w:val="off"/>
      </w:pPr>
      <w:r>
        <w:rPr/>
        <w:t>&lt;graph&gt; Change in Housing Tenure</w:t>
      </w:r>
    </w:p>
    <w:p>
      <w:pPr>
        <w:pStyle w:val="0"/>
        <w:widowControl w:val="off"/>
      </w:pPr>
      <w:r>
        <w:rPr/>
        <w:t xml:space="preserve">&lt;table&gt; Ratio of </w:t>
      </w:r>
      <w:r>
        <w:rPr/>
        <w:t>̒</w:t>
      </w:r>
      <w:r>
        <w:rPr/>
        <w:t>.Owned</w:t>
      </w:r>
      <w:r>
        <w:rPr/>
        <w:t>̕</w:t>
      </w:r>
      <w:r>
        <w:rPr/>
        <w:t>. by Housing Type</w:t>
      </w:r>
    </w:p>
    <w:p>
      <w:pPr>
        <w:pStyle w:val="0"/>
        <w:widowControl w:val="off"/>
      </w:pPr>
      <w:r>
        <w:rPr/>
        <w:t>&lt;drawing&gt; Housing Price Index (2012)</w:t>
      </w:r>
    </w:p>
    <w:p>
      <w:pPr>
        <w:pStyle w:val="0"/>
        <w:widowControl w:val="off"/>
      </w:pPr>
      <w:r>
        <w:rPr/>
        <w:t xml:space="preserve">&lt;drawing&gt; Ratio of </w:t>
      </w:r>
      <w:r>
        <w:rPr/>
        <w:t>̒</w:t>
      </w:r>
      <w:r>
        <w:rPr/>
        <w:t>.Owned</w:t>
      </w:r>
      <w:r>
        <w:rPr/>
        <w:t>̓</w:t>
      </w:r>
      <w:r>
        <w:rPr/>
        <w:t xml:space="preserve">. by Housing Type (2010) Detached Housing (Excluding </w:t>
      </w:r>
    </w:p>
    <w:p>
      <w:pPr>
        <w:pStyle w:val="0"/>
        <w:widowControl w:val="off"/>
      </w:pPr>
      <w:r>
        <w:tab/>
        <w:rPr/>
        <w:t xml:space="preserve">   Multi-Dwelling Detached House)</w:t>
      </w:r>
    </w:p>
    <w:p>
      <w:pPr>
        <w:pStyle w:val="0"/>
        <w:widowControl w:val="off"/>
      </w:pPr>
      <w:r>
        <w:rPr/>
        <w:t>&lt;drawing&gt; Housing Chonse Index (2012)</w:t>
      </w:r>
    </w:p>
    <w:p>
      <w:pPr>
        <w:pStyle w:val="0"/>
        <w:widowControl w:val="off"/>
      </w:pPr>
      <w:r>
        <w:rPr/>
        <w:t xml:space="preserve">&lt;drawing&gt; Ratio of </w:t>
      </w:r>
      <w:r>
        <w:rPr/>
        <w:t>̒</w:t>
      </w:r>
      <w:r>
        <w:rPr/>
        <w:t>Chonse</w:t>
      </w:r>
      <w:r>
        <w:rPr/>
        <w:t>̓</w:t>
      </w:r>
      <w:r>
        <w:rPr/>
        <w:t xml:space="preserve"> Units by Housing Type (2010) Detached Housing </w:t>
      </w:r>
    </w:p>
    <w:p>
      <w:pPr>
        <w:pStyle w:val="0"/>
        <w:widowControl w:val="off"/>
      </w:pPr>
      <w:r>
        <w:tab/>
        <w:rPr/>
        <w:t xml:space="preserve">   (Excluding Multi-Dwelling Detached House)</w:t>
      </w:r>
    </w:p>
    <w:p>
      <w:pPr>
        <w:pStyle w:val="0"/>
        <w:widowControl w:val="off"/>
      </w:pPr>
      <w:r>
        <w:rPr/>
        <w:t xml:space="preserve">&lt;drawing&gt; Ratio of </w:t>
      </w:r>
      <w:r>
        <w:rPr/>
        <w:t>̒</w:t>
      </w:r>
      <w:r>
        <w:rPr/>
        <w:t>.Chonse</w:t>
      </w:r>
      <w:r>
        <w:rPr/>
        <w:t>̓</w:t>
      </w:r>
      <w:r>
        <w:rPr/>
        <w:t>. Units in Rental Housing Units, by Housing Type (2010)</w:t>
      </w:r>
    </w:p>
    <w:p>
      <w:pPr>
        <w:pStyle w:val="0"/>
        <w:widowControl w:val="off"/>
        <w:rPr/>
      </w:pPr>
    </w:p>
    <w:p>
      <w:r>
        <w:br w:type="page"/>
      </w:r>
    </w:p>
    <w:p>
      <w:pPr>
        <w:pStyle w:val="0"/>
        <w:widowControl w:val="off"/>
        <w:wordWrap w:val="1"/>
        <w:spacing w:line="0" w:lineRule="atLeast"/>
        <w:jc w:val="left"/>
      </w:pPr>
      <w:r>
        <w:rPr>
          <w:b/>
          <w:sz w:val="24"/>
        </w:rPr>
        <w:t>Rental Housing</w:t>
      </w:r>
    </w:p>
    <w:p>
      <w:pPr>
        <w:pStyle w:val="0"/>
        <w:widowControl w:val="off"/>
        <w:rPr/>
      </w:pPr>
    </w:p>
    <w:p>
      <w:pPr>
        <w:pStyle w:val="0"/>
        <w:widowControl w:val="off"/>
      </w:pPr>
      <w:r>
        <w:rPr/>
        <w:t>&lt;drawing&gt; Inventory of Rental Housing Units (2014)</w:t>
      </w:r>
    </w:p>
    <w:p>
      <w:pPr>
        <w:pStyle w:val="0"/>
        <w:widowControl w:val="off"/>
        <w:rPr/>
      </w:pPr>
    </w:p>
    <w:p>
      <w:pPr>
        <w:pStyle w:val="0"/>
        <w:widowControl w:val="off"/>
      </w:pPr>
      <w:r>
        <w:rPr/>
        <w:t xml:space="preserve">  Rental housing is categorized into two types, depending on how renters obtain the housing</w:t>
      </w:r>
      <w:r>
        <w:rPr/>
        <w:t>—</w:t>
      </w:r>
      <w:r>
        <w:rPr/>
        <w:t>constructed rental housing and purchased rental housing (Rental Housing Act, Article 2; Decree of Rental Housing Act, Article 2, Section 2). In the former case, rental houses are built, and in the latter case, they are purchased. Rental housing owners include the national government, the local governments, Korea Land and Housing Corporation, rental housing businesses, or rental housing associations.</w:t>
      </w:r>
    </w:p>
    <w:p>
      <w:pPr>
        <w:pStyle w:val="0"/>
        <w:widowControl w:val="off"/>
      </w:pPr>
      <w:r>
        <w:rPr/>
        <w:t xml:space="preserve">  Constructed rental housing units are classified further as government- constructed rental housing or private-constructed rental housing, depending on funding sources. </w:t>
      </w:r>
    </w:p>
    <w:p>
      <w:pPr>
        <w:pStyle w:val="0"/>
        <w:widowControl w:val="off"/>
      </w:pPr>
      <w:r>
        <w:rPr/>
        <w:t xml:space="preserve">  There are both private and public rental housing units. For public housing, three types of government rental housing exist, depending on the length of the rental period, building space, and rent type: permanent rent, low-income assistance rent, and long-term exclusive deposit rent. In addition, there are government-sublease rent and long-term private rent units. In the case of the former, the government leases housing units from a third party then subleases them. The long-term private sector rental units have a minimum rental period of ten years.</w:t>
      </w:r>
    </w:p>
    <w:p>
      <w:pPr>
        <w:pStyle w:val="0"/>
        <w:widowControl w:val="off"/>
      </w:pPr>
      <w:r>
        <w:rPr/>
        <w:t xml:space="preserve">  The rental housing stocks table shows the total number of all rental housing units that are temporary, contracted, or for sale. They are categorized by renters (local government, LH, and private) and rental types. About 60% of the total stock is from government constructed or purchased rental housing, and about 10% is from the private sector. The highest percentage of the public rental type is national rental housing (30.5%), followed by permanent rental housing (11.3%) and long-term exclusive deposit rental housing (6.8%).</w:t>
      </w:r>
    </w:p>
    <w:p>
      <w:pPr>
        <w:pStyle w:val="0"/>
        <w:widowControl w:val="off"/>
        <w:rPr/>
      </w:pPr>
    </w:p>
    <w:p>
      <w:pPr>
        <w:pStyle w:val="0"/>
        <w:widowControl w:val="off"/>
      </w:pPr>
      <w:r>
        <w:rPr/>
        <w:t>&lt;table&gt; Rental Housing by Supplier/Operator</w:t>
      </w:r>
    </w:p>
    <w:p>
      <w:pPr>
        <w:pStyle w:val="0"/>
        <w:widowControl w:val="off"/>
      </w:pPr>
      <w:r>
        <w:rPr/>
        <w:t>&lt;table&gt; Total Number of Rental Housing Units by -Si/-Do</w:t>
      </w:r>
    </w:p>
    <w:p>
      <w:pPr>
        <w:pStyle w:val="0"/>
        <w:widowControl w:val="off"/>
        <w:rPr/>
      </w:pPr>
    </w:p>
    <w:p>
      <w:pPr>
        <w:pStyle w:val="0"/>
        <w:widowControl w:val="off"/>
      </w:pPr>
      <w:r>
        <w:rPr/>
        <w:t>&lt;drawing&gt; Ratio of Rental Housing Units vs Total Number of Households</w:t>
      </w:r>
    </w:p>
    <w:p>
      <w:pPr>
        <w:pStyle w:val="0"/>
        <w:widowControl w:val="off"/>
      </w:pPr>
      <w:r>
        <w:rPr/>
        <w:t xml:space="preserve">       Seoul Capital Area</w:t>
      </w:r>
    </w:p>
    <w:p>
      <w:pPr>
        <w:pStyle w:val="0"/>
        <w:widowControl w:val="off"/>
      </w:pPr>
      <w:r>
        <w:rPr/>
        <w:t>&lt;graph&gt; Inventory of Rental Housing Units (2014)</w:t>
      </w:r>
    </w:p>
    <w:p>
      <w:pPr>
        <w:pStyle w:val="0"/>
        <w:widowControl w:val="off"/>
      </w:pPr>
      <w:r>
        <w:rPr/>
        <w:t>&lt;drawing&gt; Happy House Construction Plan (2015)</w:t>
      </w:r>
    </w:p>
    <w:p>
      <w:pPr>
        <w:pStyle w:val="0"/>
        <w:widowControl w:val="off"/>
      </w:pPr>
      <w:r>
        <w:rPr/>
        <w:t xml:space="preserve"> </w:t>
      </w:r>
    </w:p>
    <w:p>
      <w:pPr>
        <w:pStyle w:val="0"/>
        <w:widowControl w:val="off"/>
      </w:pPr>
      <w:r>
        <w:rPr/>
        <w:t xml:space="preserve">  The “Happy House” is a government rental housing unit located close to employment centers. The policy that created Happy Houses aims to mitigate the housing problems of the newly married, young workers, or college students. It is different from other housing supply projects in that the tenants are not qualified by their income level but according to age groups and socio-demographic status. Happy Houses are mostly allocated to young applicants (80%), while the rest (20%) are provided to the vulnerable (eligibility for National Rental Housing applies) and the elderly (eligibility for Public Rental Housing applies). The rules have been relaxed, so that any household member (not just the head of household as before) who does not own a home may apply for the Happy House program. The Happy House units are not located in major residential blocks, but they are preferably located close to workplaces or in inexpensive rental buildings on government land, restored urban land, and government enterprise land.</w:t>
      </w:r>
    </w:p>
    <w:p>
      <w:pPr>
        <w:pStyle w:val="0"/>
        <w:widowControl w:val="off"/>
      </w:pPr>
      <w:r>
        <w:rPr/>
        <w:t xml:space="preserve">  The number of Happy Houses reached 26,000 (37 locations) in 2014, 38,000 (68 locations) in 2015, and 24,000 (47 locations) in 2016. The total number of approved households as of 2015 was 73,637, led by 30,092 (40.9%) in Gyeonggi-do, and followed by 9,325 (12.7%) in Seoul and 7,458 (10.1%) in Chungcheongnam-do.</w:t>
      </w: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2017-05-22T06:54:14.353</dcterms:modified>
  <cp:version>0500.0500.01</cp:version>
</cp:coreProperties>
</file>