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1. NATIONAL TERRITORY AND PLACES OF LIFE</w:t>
      </w:r>
    </w:p>
    <w:p>
      <w:pPr>
        <w:pStyle w:val="0"/>
        <w:widowControl w:val="off"/>
        <w:rPr>
          <w:color w:val="000000"/>
          <w:sz w:val="32"/>
        </w:rPr>
      </w:pPr>
    </w:p>
    <w:p>
      <w:pPr>
        <w:pStyle w:val="0"/>
        <w:widowControl w:val="off"/>
      </w:pPr>
      <w:r>
        <w:rPr>
          <w:sz w:val="28"/>
        </w:rPr>
        <w:t>1-2. Development of Cities</w:t>
      </w:r>
    </w:p>
    <w:p>
      <w:pPr>
        <w:pStyle w:val="0"/>
        <w:widowControl w:val="off"/>
        <w:rPr/>
      </w:pPr>
    </w:p>
    <w:p>
      <w:pPr>
        <w:pStyle w:val="0"/>
        <w:widowControl w:val="off"/>
      </w:pPr>
      <w:r>
        <w:rPr/>
        <w:t>&lt;drawing&gt; Administrative System</w:t>
      </w:r>
    </w:p>
    <w:p>
      <w:pPr>
        <w:pStyle w:val="0"/>
        <w:widowControl w:val="off"/>
        <w:rPr/>
      </w:pPr>
    </w:p>
    <w:p>
      <w:pPr>
        <w:pStyle w:val="0"/>
        <w:widowControl w:val="off"/>
      </w:pPr>
      <w:r>
        <w:rPr/>
        <w:t>&lt;graph&gt; Increase of Population in Cities</w:t>
      </w:r>
    </w:p>
    <w:p>
      <w:pPr>
        <w:pStyle w:val="0"/>
        <w:widowControl w:val="off"/>
        <w:rPr/>
      </w:pPr>
    </w:p>
    <w:p>
      <w:pPr>
        <w:pStyle w:val="0"/>
        <w:widowControl w:val="off"/>
      </w:pPr>
      <w:r>
        <w:rPr/>
        <w:t xml:space="preserve">  There are two methods for counting the urban population. One is to use administrative boundaries, and the other is to use special-purpose areas. When administrative boundaries are used, about 90.5% of the total population (51,327 thousand people, according to the national resident registration in August 2015) lives in cities. When special-purpose areas are used for calculating urban population, about 91.7% of the total population (47,048,000 people) lives in urban areas. No matter which method is used, Korea’'s urban population exceeds 90%. The total urban area, designated under special-purpose areas, is 17,596 km2, which is 15.8% of the Korean territory (106,102 km2). Korea has 85 cities, and they are divided into regional city governments and local city governments. Six metropolitan cities (Busan, Daegu, Incheon, Gwangju, Daejeon, and Ulsan) and two “"special status”" cities (Seoul Special City and the Sejong Special Metropolitan Autonomous City) are under regional city governments. There are 77 local city governments, and 28 (about a third) of them are concentrated in Gyeonggi-do, while Gyeongsangbuk-do has ten. Chungcheongnam-do has nine and Gyeongsangnam-do also has nine. Each metropolitan city is composed of self-governing entities referred to as -gus. A local city government may also have -gus if its population is larger than 500,000. However, the -gus in local city governments cannot have a self-governing system, and they may be set up only for administrative purposes. Both regional and local city governments may have -dongs, -eups, and -myeons as their smallest administrative units. These units refl ect urbanization levels</w:t>
      </w:r>
      <w:r>
        <w:rPr/>
        <w:t>—</w:t>
      </w:r>
      <w:r>
        <w:rPr/>
        <w:t>.highest in -dongs and lowest in -myeons. Conventionally, -dongs and -eups are considered urban areas.</w:t>
      </w:r>
    </w:p>
    <w:p>
      <w:r>
        <w:br w:type="page"/>
      </w:r>
    </w:p>
    <w:p>
      <w:pPr>
        <w:pStyle w:val="0"/>
        <w:widowControl w:val="off"/>
        <w:wordWrap w:val="1"/>
        <w:spacing w:line="0" w:lineRule="atLeast"/>
        <w:jc w:val="left"/>
      </w:pPr>
      <w:r>
        <w:rPr>
          <w:b/>
          <w:sz w:val="24"/>
        </w:rPr>
        <w:t>Distribution of Cities</w:t>
      </w:r>
    </w:p>
    <w:p>
      <w:pPr>
        <w:pStyle w:val="0"/>
        <w:widowControl w:val="off"/>
        <w:rPr>
          <w:b/>
          <w:color w:val="000000"/>
          <w:sz w:val="24"/>
        </w:rPr>
      </w:pPr>
    </w:p>
    <w:p>
      <w:pPr>
        <w:pStyle w:val="0"/>
        <w:widowControl w:val="off"/>
      </w:pPr>
      <w:r>
        <w:rPr/>
        <w:t>&lt;drawing&gt; Transportation Networks and Cities (2015)</w:t>
      </w:r>
    </w:p>
    <w:p>
      <w:pPr>
        <w:pStyle w:val="0"/>
        <w:widowControl w:val="off"/>
        <w:rPr/>
      </w:pPr>
    </w:p>
    <w:p>
      <w:pPr>
        <w:pStyle w:val="0"/>
        <w:widowControl w:val="off"/>
      </w:pPr>
      <w:r>
        <w:rPr/>
        <w:t>&lt;drawing&gt; Increase in the Number of Cities</w:t>
      </w:r>
    </w:p>
    <w:p>
      <w:pPr>
        <w:pStyle w:val="0"/>
        <w:widowControl w:val="off"/>
        <w:rPr/>
      </w:pPr>
    </w:p>
    <w:p>
      <w:r>
        <w:br w:type="page"/>
      </w:r>
    </w:p>
    <w:p>
      <w:pPr>
        <w:pStyle w:val="0"/>
        <w:widowControl w:val="off"/>
        <w:wordWrap w:val="1"/>
        <w:spacing w:line="0" w:lineRule="atLeast"/>
        <w:jc w:val="left"/>
      </w:pPr>
      <w:r>
        <w:rPr>
          <w:b/>
          <w:sz w:val="24"/>
        </w:rPr>
        <w:t>Growth of Cities</w:t>
      </w:r>
    </w:p>
    <w:p>
      <w:pPr>
        <w:pStyle w:val="0"/>
        <w:widowControl w:val="off"/>
        <w:rPr>
          <w:b/>
          <w:color w:val="000000"/>
          <w:sz w:val="24"/>
        </w:rPr>
      </w:pPr>
    </w:p>
    <w:p>
      <w:pPr>
        <w:pStyle w:val="0"/>
        <w:widowControl w:val="off"/>
      </w:pPr>
      <w:r>
        <w:rPr/>
        <w:t>&lt;drawing&gt; 1970 - 1979 Population Growth Rate (%)</w:t>
      </w:r>
    </w:p>
    <w:p>
      <w:pPr>
        <w:pStyle w:val="0"/>
        <w:widowControl w:val="off"/>
      </w:pPr>
      <w:r>
        <w:rPr/>
        <w:t xml:space="preserve">  According to the Local Government Law, a -gun or -eup district may be promoted to a city if certain criteria are met for population size, ratio of urban population, population density, and fi scal independence. A chronological review of the promotions to city status will help illustrate the population trends and urban growth in Korea.</w:t>
      </w:r>
    </w:p>
    <w:p>
      <w:pPr>
        <w:pStyle w:val="0"/>
        <w:widowControl w:val="off"/>
      </w:pPr>
      <w:r>
        <w:rPr/>
        <w:t xml:space="preserve">  In 1970, there were 30 local cities and two metropolitan cities, and most of them were regional capitals or urban centers. Many of them also grew to become today’'s metropolitan cities. During the 1970s, eight were promoted to cities.</w:t>
      </w:r>
    </w:p>
    <w:p>
      <w:pPr>
        <w:pStyle w:val="0"/>
        <w:widowControl w:val="off"/>
        <w:rPr/>
      </w:pPr>
    </w:p>
    <w:p>
      <w:pPr>
        <w:pStyle w:val="0"/>
        <w:widowControl w:val="off"/>
      </w:pPr>
      <w:r>
        <w:rPr/>
        <w:t xml:space="preserve">&lt;drawing&gt; 1980 </w:t>
      </w:r>
      <w:r>
        <w:rPr/>
        <w:t>–</w:t>
      </w:r>
      <w:r>
        <w:rPr/>
        <w:t xml:space="preserve"> 1989 Population Growth Rate (%)</w:t>
      </w:r>
    </w:p>
    <w:p>
      <w:pPr>
        <w:pStyle w:val="0"/>
        <w:widowControl w:val="off"/>
      </w:pPr>
      <w:r>
        <w:rPr/>
        <w:t xml:space="preserve">  In 1980, there were 38 local cities and two metropolitan cities. During the 1980s, 31 were additionally promoted to cities, representing an era of rapid population growth and urbanization. Incheon, Daegu, Gwangju, and Daejeon were promoted to metropolitan cities one after the other, and their boundaries were expanded.</w:t>
      </w:r>
    </w:p>
    <w:p>
      <w:pPr>
        <w:pStyle w:val="0"/>
        <w:widowControl w:val="off"/>
        <w:rPr/>
      </w:pPr>
    </w:p>
    <w:p>
      <w:pPr>
        <w:pStyle w:val="0"/>
        <w:widowControl w:val="off"/>
      </w:pPr>
      <w:r>
        <w:rPr/>
        <w:t xml:space="preserve">&lt;drawing&gt; 1990 </w:t>
      </w:r>
      <w:r>
        <w:rPr/>
        <w:t>–</w:t>
      </w:r>
      <w:r>
        <w:rPr/>
        <w:t xml:space="preserve"> 1999 Population Growth Rate (%)</w:t>
      </w:r>
    </w:p>
    <w:p>
      <w:pPr>
        <w:pStyle w:val="0"/>
        <w:widowControl w:val="off"/>
      </w:pPr>
      <w:r>
        <w:rPr/>
        <w:t xml:space="preserve">  In 1990, there were 65 local cities and six metropolitan cities. During the 1990s, eight were promoted to local cities, and they were mostly suburban bed-towns that were developed with large-scale housing projects (e.g., Goyang-si, Paju-si, Yonginsi, and Yangsan-si). In the 1990s, the current administrative districts were established by the legislation of the Local Government Law, and the cities that were once affi liated with provinces, known as -dos, became autonomous city governments. Five metropolitan cities became regional city governments, and Seoul Metropolitan City became Seoul Special City. Ulsan-si was promoted to Ulsan Metropolitan City.</w:t>
      </w:r>
    </w:p>
    <w:p>
      <w:pPr>
        <w:pStyle w:val="0"/>
        <w:widowControl w:val="off"/>
        <w:rPr/>
      </w:pPr>
    </w:p>
    <w:p>
      <w:pPr>
        <w:pStyle w:val="0"/>
        <w:widowControl w:val="off"/>
      </w:pPr>
      <w:r>
        <w:rPr/>
        <w:t xml:space="preserve">&lt;drawing&gt; 2000 </w:t>
      </w:r>
      <w:r>
        <w:rPr/>
        <w:t>–</w:t>
      </w:r>
      <w:r>
        <w:rPr/>
        <w:t xml:space="preserve"> 2009 Population Growth Rate (%)</w:t>
      </w:r>
    </w:p>
    <w:p>
      <w:pPr>
        <w:pStyle w:val="0"/>
        <w:widowControl w:val="off"/>
      </w:pPr>
      <w:r>
        <w:rPr/>
        <w:t xml:space="preserve">  In 2000, there were 72 autonomous cities, six metropolitan cities, and one special city. Seven units were promoted to cities. In 2006, Jeju-do became Jeju Special Self-Governing Province, and Jeju-si and Seogwipo-si were classified as administrative cities. In 2010, Jinhae-si, Masan-si, and Changwon-si were merged with Changwon City, reducing the total number of cities. Sejong-si was promoted to Sejong Special Metropolitan Autonomous City in 2012. As of 2015, Korea had 85 cities in total, including one special city, one metropolitan autonomous city, six metropolitan cities, two administrative cities, and 75 autonomous cities.</w:t>
      </w:r>
    </w:p>
    <w:p>
      <w:r>
        <w:br w:type="page"/>
      </w:r>
    </w:p>
    <w:p>
      <w:pPr>
        <w:pStyle w:val="0"/>
        <w:widowControl w:val="off"/>
        <w:wordWrap w:val="1"/>
        <w:spacing w:line="0" w:lineRule="atLeast"/>
        <w:jc w:val="left"/>
      </w:pPr>
      <w:r>
        <w:rPr>
          <w:b/>
          <w:sz w:val="24"/>
        </w:rPr>
        <w:t>Population Distribution by City</w:t>
      </w:r>
    </w:p>
    <w:p>
      <w:pPr>
        <w:pStyle w:val="0"/>
        <w:widowControl w:val="off"/>
        <w:rPr>
          <w:b/>
          <w:color w:val="000000"/>
          <w:sz w:val="24"/>
        </w:rPr>
      </w:pPr>
    </w:p>
    <w:p>
      <w:pPr>
        <w:pStyle w:val="0"/>
        <w:widowControl w:val="off"/>
      </w:pPr>
      <w:r>
        <w:rPr/>
        <w:t>&lt;drawing&gt; Urban System (2015)</w:t>
      </w:r>
    </w:p>
    <w:p>
      <w:pPr>
        <w:pStyle w:val="0"/>
        <w:widowControl w:val="off"/>
      </w:pPr>
      <w:r>
        <w:rPr/>
        <w:t>&lt;graph&gt; City Population</w:t>
      </w:r>
    </w:p>
    <w:p>
      <w:pPr>
        <w:pStyle w:val="0"/>
        <w:widowControl w:val="off"/>
        <w:rPr/>
      </w:pPr>
    </w:p>
    <w:p>
      <w:pPr>
        <w:pStyle w:val="0"/>
        <w:widowControl w:val="off"/>
      </w:pPr>
      <w:r>
        <w:rPr/>
        <w:t>&lt;drawing&gt; Population Distribution in Major Metropolitan Areas (2015)</w:t>
      </w:r>
    </w:p>
    <w:p>
      <w:pPr>
        <w:pStyle w:val="0"/>
        <w:widowControl w:val="off"/>
      </w:pPr>
      <w:r>
        <w:tab/>
        <w:rPr/>
        <w:t xml:space="preserve">   - Seoul Metropolitan Area</w:t>
      </w:r>
    </w:p>
    <w:p>
      <w:pPr>
        <w:pStyle w:val="0"/>
        <w:widowControl w:val="off"/>
      </w:pPr>
      <w:r>
        <w:rPr/>
        <w:t>&lt;drawing&gt; Population Distribution in Major Metropolitan Areas (2015)</w:t>
      </w:r>
    </w:p>
    <w:p>
      <w:pPr>
        <w:pStyle w:val="0"/>
        <w:widowControl w:val="off"/>
      </w:pPr>
      <w:r>
        <w:tab/>
        <w:rPr/>
        <w:t xml:space="preserve">   - Daejoen·Sejong Area</w:t>
      </w:r>
    </w:p>
    <w:p>
      <w:pPr>
        <w:pStyle w:val="0"/>
        <w:widowControl w:val="off"/>
      </w:pPr>
      <w:r>
        <w:rPr/>
        <w:t>&lt;drawing&gt; Population Distribution in Major Metropolitan Areas (2015)</w:t>
      </w:r>
    </w:p>
    <w:p>
      <w:pPr>
        <w:pStyle w:val="0"/>
        <w:widowControl w:val="off"/>
      </w:pPr>
      <w:r>
        <w:tab/>
        <w:rPr/>
        <w:t xml:space="preserve">   - Gwangju Area</w:t>
      </w:r>
    </w:p>
    <w:p>
      <w:pPr>
        <w:pStyle w:val="0"/>
        <w:widowControl w:val="off"/>
      </w:pPr>
      <w:r>
        <w:rPr/>
        <w:t>&lt;drawing&gt; Population Distribution in Major Metropolitan Areas (2015)</w:t>
      </w:r>
    </w:p>
    <w:p>
      <w:pPr>
        <w:pStyle w:val="0"/>
        <w:widowControl w:val="off"/>
      </w:pPr>
      <w:r>
        <w:tab/>
        <w:rPr/>
        <w:t xml:space="preserve">   - Daegu Area</w:t>
      </w:r>
    </w:p>
    <w:p>
      <w:pPr>
        <w:pStyle w:val="0"/>
        <w:widowControl w:val="off"/>
      </w:pPr>
      <w:r>
        <w:rPr/>
        <w:t>&lt;drawing&gt; Population Distribution in Major Metropolitan Areas (2015)</w:t>
      </w:r>
    </w:p>
    <w:p>
      <w:pPr>
        <w:pStyle w:val="0"/>
        <w:widowControl w:val="off"/>
      </w:pPr>
      <w:r>
        <w:tab/>
        <w:rPr/>
        <w:t xml:space="preserve">   - Busan, Ulsan Area</w:t>
      </w:r>
    </w:p>
    <w:p>
      <w:pPr>
        <w:pStyle w:val="0"/>
        <w:widowControl w:val="off"/>
        <w:rPr/>
      </w:pPr>
    </w:p>
    <w:p>
      <w:pPr>
        <w:pStyle w:val="0"/>
        <w:widowControl w:val="off"/>
      </w:pPr>
      <w:r>
        <w:rPr/>
        <w:t xml:space="preserve">  Seoul has the largest population (10 million), followed by fi ve major metropolitan cities.</w:t>
      </w:r>
    </w:p>
    <w:p>
      <w:pPr>
        <w:pStyle w:val="0"/>
        <w:widowControl w:val="off"/>
      </w:pPr>
      <w:r>
        <w:rPr/>
        <w:t xml:space="preserve">  Busan, Incheon, and Daegu each has approximately three million people. Cities with a population of more than one million include Daejeon, Gwangju, Ulsan, Suwon-si, Goyang-si, and Changwon-si.</w:t>
      </w:r>
    </w:p>
    <w:p>
      <w:pPr>
        <w:pStyle w:val="0"/>
        <w:widowControl w:val="off"/>
      </w:pPr>
      <w:r>
        <w:rPr/>
        <w:t xml:space="preserve">  Seoul and the five metropolitan cities are connected with high-speed railways, while the other cities are connected with highways. Seoul and Incheon have relatively large populations, reflecting population concentration in the Seoul Metropolitan Area. Most cities in the Seoul Metropolitan Area are close to the circular road systems (Outer Loop Expressway) or radiating road networks (the Gyeongin Expressway and Gyeongbu Expressway), forming a satellite system with Seoul at the center. Recently, the southwestern satellite cities within the Seoul Metropolitan Area have grown rapidly, forming a megalopolitan area. Many local cities are found close to major metropolitan cities or provincial capitals. In particular, the cities in Gyeongsangnam-do and Busan show a linear pattern along the Namhae Expressway.</w:t>
      </w:r>
    </w:p>
    <w:p>
      <w:r>
        <w:br w:type="page"/>
      </w:r>
    </w:p>
    <w:p>
      <w:pPr>
        <w:pStyle w:val="0"/>
        <w:widowControl w:val="off"/>
        <w:wordWrap w:val="1"/>
        <w:jc w:val="left"/>
      </w:pPr>
      <w:r>
        <w:rPr>
          <w:b/>
          <w:sz w:val="24"/>
        </w:rPr>
        <w:t>Development of Special City, Metropolitan Cities, and Special Autonomous City</w:t>
      </w:r>
    </w:p>
    <w:p>
      <w:pPr>
        <w:pStyle w:val="0"/>
        <w:widowControl w:val="off"/>
        <w:rPr>
          <w:b/>
          <w:color w:val="000000"/>
          <w:sz w:val="24"/>
        </w:rPr>
      </w:pPr>
    </w:p>
    <w:p>
      <w:pPr>
        <w:pStyle w:val="0"/>
        <w:widowControl w:val="off"/>
      </w:pPr>
      <w:r>
        <w:rPr/>
        <w:t>&lt;drawing, history, table&gt; Seoul</w:t>
      </w:r>
    </w:p>
    <w:p>
      <w:pPr>
        <w:pStyle w:val="0"/>
        <w:widowControl w:val="off"/>
      </w:pPr>
      <w:r>
        <w:rPr/>
        <w:t>&lt;drawing, history, table&gt; Busan</w:t>
      </w:r>
    </w:p>
    <w:p>
      <w:pPr>
        <w:pStyle w:val="0"/>
        <w:widowControl w:val="off"/>
      </w:pPr>
      <w:r>
        <w:rPr/>
        <w:t>&lt;drawing, history, table&gt; Daegu</w:t>
      </w:r>
    </w:p>
    <w:p>
      <w:pPr>
        <w:pStyle w:val="0"/>
        <w:widowControl w:val="off"/>
      </w:pPr>
      <w:r>
        <w:rPr/>
        <w:t>&lt;drawing, history, table&gt; Incheon</w:t>
      </w:r>
    </w:p>
    <w:p>
      <w:pPr>
        <w:pStyle w:val="0"/>
        <w:widowControl w:val="off"/>
      </w:pPr>
      <w:r>
        <w:rPr/>
        <w:t>&lt;drawing, history, table&gt; Gwangju</w:t>
      </w:r>
    </w:p>
    <w:p>
      <w:pPr>
        <w:pStyle w:val="0"/>
        <w:widowControl w:val="off"/>
      </w:pPr>
      <w:r>
        <w:rPr/>
        <w:t>&lt;drawing, history, table&gt; Daejeon</w:t>
      </w:r>
    </w:p>
    <w:p>
      <w:pPr>
        <w:pStyle w:val="0"/>
        <w:widowControl w:val="off"/>
      </w:pPr>
      <w:r>
        <w:rPr/>
        <w:t>&lt;drawing, history, table&gt; Ulsan</w:t>
      </w:r>
    </w:p>
    <w:p>
      <w:pPr>
        <w:pStyle w:val="0"/>
        <w:widowControl w:val="off"/>
      </w:pPr>
      <w:r>
        <w:rPr/>
        <w:t>&lt;drawing, history, table&gt; Sejong</w:t>
      </w:r>
    </w:p>
    <w:p>
      <w:pPr>
        <w:pStyle w:val="0"/>
        <w:widowControl w:val="off"/>
        <w:rPr/>
      </w:pPr>
    </w:p>
    <w:p>
      <w:pPr>
        <w:pStyle w:val="0"/>
        <w:widowControl w:val="off"/>
        <w:rPr/>
      </w:pPr>
    </w:p>
    <w:p>
      <w:r>
        <w:br w:type="page"/>
      </w:r>
    </w:p>
    <w:p>
      <w:pPr>
        <w:pStyle w:val="0"/>
        <w:widowControl w:val="off"/>
        <w:wordWrap w:val="1"/>
        <w:spacing w:line="0" w:lineRule="atLeast"/>
        <w:jc w:val="left"/>
      </w:pPr>
      <w:r>
        <w:rPr>
          <w:b/>
          <w:sz w:val="24"/>
        </w:rPr>
        <w:t>Regional Traffic Volume</w:t>
      </w:r>
    </w:p>
    <w:p>
      <w:pPr>
        <w:pStyle w:val="0"/>
        <w:widowControl w:val="off"/>
        <w:rPr>
          <w:b/>
          <w:color w:val="000000"/>
          <w:sz w:val="24"/>
        </w:rPr>
      </w:pPr>
    </w:p>
    <w:p>
      <w:pPr>
        <w:pStyle w:val="0"/>
        <w:widowControl w:val="off"/>
      </w:pPr>
      <w:r>
        <w:rPr/>
        <w:t>&lt;drawing&gt; Regional Traffi c Volume (2013) - Seoul Metropolitan Area</w:t>
      </w:r>
    </w:p>
    <w:p>
      <w:pPr>
        <w:pStyle w:val="0"/>
        <w:widowControl w:val="off"/>
      </w:pPr>
      <w:r>
        <w:rPr/>
        <w:t>&lt;drawing&gt; Regional Traffi c Volume (2013) - Daejoen/Sejong Area</w:t>
      </w:r>
    </w:p>
    <w:p>
      <w:pPr>
        <w:pStyle w:val="0"/>
        <w:widowControl w:val="off"/>
      </w:pPr>
      <w:r>
        <w:rPr/>
        <w:t>&lt;drawing&gt; Regional Traffi c Volume (2013) - Gwangju Area</w:t>
      </w:r>
    </w:p>
    <w:p>
      <w:pPr>
        <w:pStyle w:val="0"/>
        <w:widowControl w:val="off"/>
      </w:pPr>
      <w:r>
        <w:rPr/>
        <w:t>&lt;drawing&gt; Regional Traffi c Volume (2013) - Daegu Area</w:t>
      </w:r>
    </w:p>
    <w:p>
      <w:pPr>
        <w:pStyle w:val="0"/>
        <w:widowControl w:val="off"/>
      </w:pPr>
      <w:r>
        <w:rPr/>
        <w:t>&lt;drawing&gt; Regional Traffi c Volume (2013) - Busan/Ulsan Area</w:t>
      </w:r>
    </w:p>
    <w:p>
      <w:pPr>
        <w:pStyle w:val="0"/>
        <w:widowControl w:val="off"/>
        <w:rPr/>
      </w:pPr>
    </w:p>
    <w:p>
      <w:pPr>
        <w:pStyle w:val="0"/>
        <w:widowControl w:val="off"/>
      </w:pPr>
      <w:r>
        <w:rPr/>
        <w:t>&lt;table&gt; Traffi c Volume by Purpose by -Si/-Do</w:t>
      </w:r>
    </w:p>
    <w:p>
      <w:pPr>
        <w:pStyle w:val="0"/>
        <w:widowControl w:val="off"/>
        <w:rPr/>
      </w:pPr>
    </w:p>
    <w:p>
      <w:pPr>
        <w:pStyle w:val="0"/>
        <w:widowControl w:val="off"/>
      </w:pPr>
      <w:r>
        <w:rPr/>
        <w:t xml:space="preserve">  By trip purpose, “to work” accounted for 22.3% of all trips, followed by “business” (8.3%), “social/recreational/entertainment” (6.3%), “school” (5.5%), and “shopping” (3.3%) . This generation of trips leads to traffic heading home after late</w:t>
      </w:r>
    </w:p>
    <w:p>
      <w:pPr>
        <w:pStyle w:val="0"/>
        <w:widowControl w:val="off"/>
      </w:pPr>
      <w:r>
        <w:rPr/>
        <w:t>afternoon, and “from work” trips accounted for 43.3% of all trips. The traffi c volume in the Seoul Capital Area is approximately 50%, about the same as the traffic volume in the metropolitan cities. When the trips are examined by purpose (“commute,” “business,” “school,” etc.), slightly different patterns emerge. The number of “to work” and “business” trips in metropolitan cities accounted for approximately 50%, whereas for “school,” the proportion is 45% and for “shopping,” the proportion reaches 58%. On the other hand, the number of “shopping” trips does not stand out in the Seoul Capital Area.</w:t>
      </w:r>
    </w:p>
    <w:p>
      <w:pPr>
        <w:pStyle w:val="0"/>
        <w:widowControl w:val="off"/>
      </w:pPr>
      <w:r>
        <w:rPr/>
        <w:t xml:space="preserve">  As metropolitan areas expanded, the number of trips crossing administrative boundaries increased. Particularly in the Seoul Capital Area, due to improved regional public transportation and construction of the Seoul Ring Expressway, approximately 28% of all “to work” trips originate from outside Seoul (3.7% from Incheon, 24.1% from Gyeonggi-do). About 22% of “to work” trips in Incheon Metropolitan City also originate from outside the city limits, including 9% from Seoul. On the other hand, more than 95% of all “to work” trips originate internally in Daejeon, Gwangju, and Daegu metropolitan cities. In Ulsan and Busan metropolitan cities, internal “to work” trips accounted for 82% and 93% of the total, respectively. An examination of trips entering and leaving Seoul confi rms the increase in travel volume outside Seoul as the entire Capital Area was developed.</w:t>
      </w:r>
    </w:p>
    <w:p>
      <w:pPr>
        <w:pStyle w:val="0"/>
        <w:widowControl w:val="off"/>
        <w:rPr/>
      </w:pPr>
    </w:p>
    <w:p>
      <w:pPr>
        <w:pStyle w:val="0"/>
        <w:widowControl w:val="off"/>
      </w:pPr>
      <w:r>
        <w:rPr/>
        <w:t>&lt;drawing&gt; Traffic Volume for -Si/-Do - Entry/Exit Ratio</w:t>
      </w:r>
    </w:p>
    <w:p>
      <w:pPr>
        <w:pStyle w:val="0"/>
        <w:widowControl w:val="off"/>
      </w:pPr>
      <w:r>
        <w:rPr/>
        <w:t>&lt;drawing&gt; To Work Trips Entry/Exit Ratio Distribution (2013)</w:t>
      </w:r>
    </w:p>
    <w:p>
      <w:pPr>
        <w:pStyle w:val="0"/>
        <w:widowControl w:val="off"/>
      </w:pPr>
      <w:r>
        <w:rPr/>
        <w:t>&lt;drawing&gt; Trips by Purpose (2013)</w:t>
      </w:r>
    </w:p>
    <w:p>
      <w:pPr>
        <w:pStyle w:val="0"/>
        <w:widowControl w:val="off"/>
      </w:pPr>
      <w:r>
        <w:rPr/>
        <w:t>&lt;table&gt; Interregional Travel Patterns (2013)</w:t>
      </w:r>
    </w:p>
    <w:p>
      <w:r>
        <w:br w:type="page"/>
      </w:r>
    </w:p>
    <w:p>
      <w:pPr>
        <w:pStyle w:val="0"/>
        <w:widowControl w:val="off"/>
        <w:wordWrap w:val="1"/>
        <w:spacing w:line="0" w:lineRule="atLeast"/>
        <w:jc w:val="left"/>
      </w:pPr>
      <w:r>
        <w:rPr>
          <w:b/>
          <w:sz w:val="24"/>
        </w:rPr>
        <w:t>Provincial Urban System</w:t>
      </w:r>
    </w:p>
    <w:p>
      <w:pPr>
        <w:pStyle w:val="0"/>
        <w:widowControl w:val="off"/>
        <w:rPr>
          <w:b/>
          <w:color w:val="000000"/>
          <w:sz w:val="24"/>
        </w:rPr>
      </w:pPr>
    </w:p>
    <w:p>
      <w:pPr>
        <w:pStyle w:val="0"/>
        <w:widowControl w:val="off"/>
      </w:pPr>
      <w:r>
        <w:rPr/>
        <w:t>&lt;table&gt; Number and Population of -Si/-Eup by Province (2015)</w:t>
      </w:r>
    </w:p>
    <w:p>
      <w:pPr>
        <w:pStyle w:val="0"/>
        <w:widowControl w:val="off"/>
      </w:pPr>
      <w:r>
        <w:rPr/>
        <w:t>&lt;drawing&gt; Provincial Spatial Structure (2015)</w:t>
      </w:r>
    </w:p>
    <w:p>
      <w:pPr>
        <w:pStyle w:val="0"/>
        <w:widowControl w:val="off"/>
        <w:rPr/>
      </w:pPr>
    </w:p>
    <w:p>
      <w:pPr>
        <w:pStyle w:val="0"/>
        <w:widowControl w:val="off"/>
      </w:pPr>
      <w:r>
        <w:rPr/>
        <w:t xml:space="preserve">   The distribution of cities ("-si"), counties ("-gun"), and the provincial capital ("-do") show a province’s characteristics. As the administrative center, the location of a provincial capital is decided by considering not only physical accessibility, but also regional balance and representativeness. For example, Gyeonggi-do has a large and sparsely populated northern region and a smaller but densely populated southern region. The Outer Ring Expressway runs through Gyeonggi-do. The provincial capital is located in Suwon-si. It was once moved from Suwon-si to Seoul during the Japanese colonial period, and was relocated back to Suwon-si in 1967.</w:t>
      </w:r>
    </w:p>
    <w:p>
      <w:pPr>
        <w:pStyle w:val="0"/>
        <w:widowControl w:val="off"/>
      </w:pPr>
      <w:r>
        <w:rPr/>
        <w:t xml:space="preserve">  In Chungcheongnam-do, there is no particular outstanding central region, and its road system is concentrated in the east, connecting to Daejeon. Reliance on Daejeon has reduced since the opening of the Seohaean Expressway. Traditionally, the provincial capital was Gongju-si, but it was relocated to Daejeon to be near the Gyeongbu (Rail) Line during the Japanese colonial period. In 1989, Daejeon Metropolitan City was separated from Chungcheongnam-do, and thus, the capital had to be relocated once again. It is now located in Naepo New Town in Hongseong-gun. In Jeju Self-Governing Province, Hallasan is located in the geographic center, so administration branches are positioned along the coast. The provincial government buildings are located on the north side, close to the airport and the port. Chungcheongbuk-do is the only province that does not border the sea, and it is composed of three self-governing cities (Cheongju-si, Chungju-si, and Jecheon-si) and multiple -guns. The provincial capital is Cheongju-si.</w:t>
      </w:r>
    </w:p>
    <w:p>
      <w:pPr>
        <w:pStyle w:val="0"/>
        <w:widowControl w:val="off"/>
      </w:pPr>
      <w:r>
        <w:rPr/>
        <w:t xml:space="preserve">  In Gyeongsangbuk-do, metropolitan transportation networks such as the Gyeongbu Expressway and the Daegu-Pohang Expressway pass through, connecting to Daegu. The provincial capital was located in Daegu for a while, but it recently relocated to Andong-si in the northern part of the province. After the separation of Daegu from Gyeongsangbuk-do due to its promotion to metropolitan city status in 1981, the relocation of the provincial capital was discussed. Andong-si was chosen as the new capital in 2008, and relocation of government functions was completed in March 2016.</w:t>
      </w:r>
    </w:p>
    <w:p>
      <w:pPr>
        <w:pStyle w:val="0"/>
        <w:widowControl w:val="off"/>
      </w:pPr>
      <w:r>
        <w:rPr/>
        <w:t xml:space="preserve">  In Jeollanam-do, the Seohaean Expressway and the Honam Expressway are accessible. The provincial capital was relocated to Muan-gun in 2005, because Gwangju was separated from the province due to its promotion to Gwangju Metropolitan City in 1986. Because Muan-gun is located in the western part, additional administrative buildings were built in Suncheon-si, which is in the eastern part of the province.</w:t>
      </w:r>
    </w:p>
    <w:p>
      <w:pPr>
        <w:pStyle w:val="0"/>
        <w:widowControl w:val="off"/>
      </w:pPr>
      <w:r>
        <w:rPr/>
        <w:t xml:space="preserve">Gyeongsangnam-do has a number of northsouth expressways starting from Busan, including the Gyeongbu Expressway, the Jungang Expressway, and the Daegu-Busan Expressway. In addition, the Namhae Expressway runs eastwest. The Jungbu Naeryuk Expressway (Changwon-si </w:t>
      </w:r>
      <w:r>
        <w:rPr/>
        <w:t>–</w:t>
      </w:r>
      <w:r>
        <w:rPr/>
        <w:t xml:space="preserve"> Yangpyeong-gun in Gyeonggi-do) and the Tongyeong-Daejeon Expressway also pass through. The provincial capital was Jinju-si, but it was moved to Busan during the Japanese colonial period. In 1981 it was relocated to Changwon-si, despite challenges from Jinju-si and Masan-si to become the provincial capital since Korean independence in 1945.</w:t>
      </w:r>
    </w:p>
    <w:p>
      <w:r>
        <w:br w:type="page"/>
      </w:r>
    </w:p>
    <w:p>
      <w:pPr>
        <w:pStyle w:val="0"/>
        <w:widowControl w:val="off"/>
      </w:pPr>
      <w:r>
        <w:rPr>
          <w:b/>
          <w:sz w:val="24"/>
        </w:rPr>
        <w:t>City Area</w:t>
      </w:r>
    </w:p>
    <w:p>
      <w:pPr>
        <w:pStyle w:val="0"/>
        <w:widowControl w:val="off"/>
        <w:rPr>
          <w:b/>
          <w:color w:val="000000"/>
          <w:sz w:val="24"/>
        </w:rPr>
      </w:pPr>
    </w:p>
    <w:p>
      <w:pPr>
        <w:pStyle w:val="0"/>
        <w:widowControl w:val="off"/>
      </w:pPr>
      <w:r>
        <w:rPr/>
        <w:t xml:space="preserve">  Among the 85 cities in Korea, including special city, metropolitan cities, special self-governing city, autonomous cities, and administrative cities, Andong has the largest area (1,522 km2), followed by Gyeongju-si (1,325 km2) and Sangju-si (1,255 km2). The autonomous cities in Gyeongsangbuk-do and Gangwon-do have relatively large areas. The smallest city is Guri-si, at 33.3 km2. Cities in Gyeonggi-do are usually smaller, such as Gwacheon-si (35.9 km2) and Gunpo-si (36.5km2). Autonomous cities and administrative cities, except the special city and metropolitan cities, do not show a strong correlation between city size and population size. For example, Suwon-si (121 km2, 71st) and Goyang-si (268 km2, 64th) have relatively smaller areas while they have more than one million people each.</w:t>
      </w:r>
    </w:p>
    <w:p>
      <w:pPr>
        <w:pStyle w:val="0"/>
        <w:widowControl w:val="off"/>
        <w:rPr/>
      </w:pPr>
    </w:p>
    <w:p>
      <w:pPr>
        <w:pStyle w:val="0"/>
        <w:widowControl w:val="off"/>
      </w:pPr>
      <w:r>
        <w:rPr/>
        <w:t>&lt;drawing&gt; Population-Area Distribution in Cities (2015)</w:t>
      </w:r>
    </w:p>
    <w:p>
      <w:pPr>
        <w:pStyle w:val="0"/>
        <w:widowControl w:val="off"/>
        <w:rPr/>
      </w:pPr>
    </w:p>
    <w:p>
      <w:pPr>
        <w:pStyle w:val="0"/>
        <w:widowControl w:val="off"/>
      </w:pPr>
      <w:r>
        <w:rPr/>
        <w:t>&lt;drawing&gt; City Area Ranking (2015)</w:t>
      </w:r>
    </w:p>
    <w:p>
      <w:pPr>
        <w:pStyle w:val="0"/>
        <w:widowControl w:val="off"/>
        <w:rPr/>
      </w:pPr>
    </w:p>
    <w:p>
      <w:r>
        <w:br w:type="page"/>
      </w:r>
    </w:p>
    <w:p>
      <w:pPr>
        <w:pStyle w:val="0"/>
        <w:widowControl w:val="off"/>
        <w:wordWrap w:val="1"/>
        <w:spacing w:line="0" w:lineRule="atLeast"/>
        <w:jc w:val="left"/>
      </w:pPr>
      <w:r>
        <w:rPr>
          <w:b/>
          <w:sz w:val="24"/>
        </w:rPr>
        <w:t>Statistics on Cities</w:t>
      </w:r>
    </w:p>
    <w:p>
      <w:pPr>
        <w:pStyle w:val="0"/>
        <w:widowControl w:val="off"/>
        <w:rPr>
          <w:b/>
          <w:color w:val="000000"/>
          <w:sz w:val="24"/>
        </w:rPr>
      </w:pPr>
    </w:p>
    <w:p>
      <w:pPr>
        <w:pStyle w:val="0"/>
        <w:widowControl w:val="off"/>
      </w:pPr>
      <w:r>
        <w:rPr/>
        <w:t>&lt;table&gt; Statistics on Cities</w:t>
      </w:r>
    </w:p>
    <w:p>
      <w:pPr>
        <w:pStyle w:val="0"/>
        <w:widowControl w:val="off"/>
        <w:rPr/>
      </w:pPr>
    </w:p>
    <w:p>
      <w:pPr>
        <w:pStyle w:val="0"/>
        <w:widowControl w:val="off"/>
      </w:pPr>
      <w:r>
        <w:rPr/>
        <w:t>&lt;drawing&gt; Population Density</w:t>
      </w:r>
    </w:p>
    <w:p>
      <w:pPr>
        <w:pStyle w:val="0"/>
        <w:widowControl w:val="off"/>
      </w:pPr>
      <w:r>
        <w:rPr/>
        <w:t>&lt;drawing&gt; Working Age Population Ratio</w:t>
      </w:r>
    </w:p>
    <w:p>
      <w:pPr>
        <w:pStyle w:val="0"/>
        <w:widowControl w:val="off"/>
      </w:pPr>
      <w:r>
        <w:rPr/>
        <w:t>&lt;drawing&gt; Daytime Population Index</w:t>
      </w:r>
    </w:p>
    <w:p>
      <w:pPr>
        <w:pStyle w:val="0"/>
        <w:widowControl w:val="off"/>
      </w:pPr>
      <w:r>
        <w:rPr/>
        <w:t>&lt;drawing&gt; Net Migration Rate</w:t>
      </w:r>
    </w:p>
    <w:p>
      <w:pPr>
        <w:pStyle w:val="0"/>
        <w:widowControl w:val="off"/>
      </w:pPr>
      <w:r>
        <w:rPr/>
        <w:t>&lt;drawing&gt; Crude Birth Rate</w:t>
      </w:r>
    </w:p>
    <w:p>
      <w:pPr>
        <w:pStyle w:val="0"/>
        <w:widowControl w:val="off"/>
      </w:pPr>
      <w:r>
        <w:rPr/>
        <w:t>&lt;drawing&gt; Crude Death Rate</w:t>
      </w:r>
    </w:p>
    <w:p>
      <w:pPr>
        <w:pStyle w:val="0"/>
        <w:widowControl w:val="off"/>
      </w:pPr>
      <w:r>
        <w:rPr/>
        <w:t>&lt;drawing&gt; Crude Marriage Rate</w:t>
      </w:r>
    </w:p>
    <w:p>
      <w:pPr>
        <w:pStyle w:val="0"/>
        <w:widowControl w:val="off"/>
      </w:pPr>
      <w:r>
        <w:rPr/>
        <w:t>&lt;drawing&gt; Crude Divorce Rate</w:t>
      </w:r>
    </w:p>
    <w:p>
      <w:pPr>
        <w:pStyle w:val="0"/>
        <w:widowControl w:val="off"/>
      </w:pPr>
      <w:r>
        <w:rPr/>
        <w:t>&lt;drawing&gt; Financial Self-Suffi ciency</w:t>
      </w:r>
    </w:p>
    <w:p>
      <w:pPr>
        <w:pStyle w:val="0"/>
        <w:widowControl w:val="off"/>
      </w:pPr>
      <w:r>
        <w:rPr/>
        <w:t>&lt;drawing&gt; Local Tax Burden per Capita</w:t>
      </w:r>
    </w:p>
    <w:p>
      <w:pPr>
        <w:pStyle w:val="0"/>
        <w:widowControl w:val="off"/>
      </w:pPr>
      <w:r>
        <w:rPr/>
        <w:t>&lt;drawing&gt; Tax Revenue per Capita</w:t>
      </w:r>
    </w:p>
    <w:p>
      <w:pPr>
        <w:pStyle w:val="0"/>
        <w:widowControl w:val="off"/>
      </w:pPr>
      <w:r>
        <w:rPr/>
        <w:t>&lt;drawing&gt; Tax Expenditure per Capita</w:t>
      </w:r>
    </w:p>
    <w:p>
      <w:pPr>
        <w:pStyle w:val="0"/>
        <w:widowControl w:val="off"/>
      </w:pPr>
      <w:r>
        <w:rPr/>
        <w:t>&lt;drawing&gt; Number of Government Employees per 10,000 Persons</w:t>
      </w:r>
    </w:p>
    <w:p>
      <w:pPr>
        <w:pStyle w:val="0"/>
        <w:widowControl w:val="off"/>
      </w:pPr>
      <w:r>
        <w:rPr/>
        <w:t>&lt;drawing&gt; Number of Financial Institutions per 10,000 Persons</w:t>
      </w:r>
    </w:p>
    <w:p>
      <w:pPr>
        <w:pStyle w:val="0"/>
        <w:widowControl w:val="off"/>
      </w:pPr>
      <w:r>
        <w:rPr/>
        <w:t>&lt;drawing&gt; Number of Markets per 10,000 Persons</w:t>
      </w:r>
    </w:p>
    <w:p>
      <w:pPr>
        <w:pStyle w:val="0"/>
        <w:widowControl w:val="off"/>
      </w:pPr>
      <w:r>
        <w:rPr/>
        <w:t>&lt;drawing&gt; Number of Licensed Food Premises per 1,000 Persons</w:t>
      </w:r>
    </w:p>
    <w:p>
      <w:pPr>
        <w:pStyle w:val="0"/>
        <w:widowControl w:val="off"/>
      </w:pPr>
      <w:r>
        <w:rPr/>
        <w:t>&lt;drawing&gt; Number of Hotels and Other Accommodations</w:t>
      </w:r>
    </w:p>
    <w:p>
      <w:pPr>
        <w:pStyle w:val="0"/>
        <w:widowControl w:val="off"/>
      </w:pPr>
      <w:r>
        <w:rPr/>
        <w:t>&lt;drawing&gt; Number of Businesses per 1,000 Persons</w:t>
      </w:r>
    </w:p>
    <w:p>
      <w:pPr>
        <w:pStyle w:val="0"/>
        <w:widowControl w:val="off"/>
      </w:pPr>
      <w:r>
        <w:rPr/>
        <w:t>&lt;drawing&gt; Housing Supply Rate</w:t>
      </w:r>
    </w:p>
    <w:p>
      <w:pPr>
        <w:pStyle w:val="0"/>
        <w:widowControl w:val="off"/>
      </w:pPr>
      <w:r>
        <w:rPr/>
        <w:t>&lt;drawing&gt; Building Floor Area per Capita</w:t>
      </w:r>
    </w:p>
    <w:p>
      <w:pPr>
        <w:pStyle w:val="0"/>
        <w:widowControl w:val="off"/>
      </w:pPr>
      <w:r>
        <w:rPr/>
        <w:t>&lt;drawing&gt; Paved Road Rate</w:t>
      </w:r>
    </w:p>
    <w:p>
      <w:pPr>
        <w:pStyle w:val="0"/>
        <w:widowControl w:val="off"/>
      </w:pPr>
      <w:r>
        <w:rPr/>
        <w:t>&lt;drawing&gt; Length of Bicycle Lanes per 1,000 Persons</w:t>
      </w:r>
    </w:p>
    <w:p>
      <w:pPr>
        <w:pStyle w:val="0"/>
        <w:widowControl w:val="off"/>
      </w:pPr>
      <w:r>
        <w:rPr/>
        <w:t>&lt;drawing&gt; Number of Traffi c Accidents per 1,000 Persons</w:t>
      </w:r>
    </w:p>
    <w:p>
      <w:pPr>
        <w:pStyle w:val="0"/>
        <w:widowControl w:val="off"/>
      </w:pPr>
      <w:r>
        <w:rPr/>
        <w:t>&lt;drawing&gt; Number of Registered Motor Vehicles per Capita</w:t>
      </w:r>
    </w:p>
    <w:p>
      <w:pPr>
        <w:pStyle w:val="0"/>
        <w:widowControl w:val="off"/>
      </w:pPr>
      <w:r>
        <w:rPr/>
        <w:t>&lt;drawing&gt; Number of Traffi c Accident Deaths per 100,000 Persons</w:t>
      </w:r>
    </w:p>
    <w:p>
      <w:pPr>
        <w:pStyle w:val="0"/>
        <w:widowControl w:val="off"/>
      </w:pPr>
      <w:r>
        <w:rPr/>
        <w:t>&lt;drawing&gt; Number of Traffi c Accidents per 10,000 Vehicles</w:t>
      </w:r>
    </w:p>
    <w:p>
      <w:pPr>
        <w:pStyle w:val="0"/>
        <w:widowControl w:val="off"/>
      </w:pPr>
      <w:r>
        <w:rPr/>
        <w:t>&lt;drawing&gt; Number of Traffi c Accident Injuries per 100,000 Persons</w:t>
      </w:r>
    </w:p>
    <w:p>
      <w:pPr>
        <w:pStyle w:val="0"/>
        <w:widowControl w:val="off"/>
      </w:pPr>
      <w:r>
        <w:rPr/>
        <w:t>&lt;drawing&gt; Population with Health Insurance Coverage</w:t>
      </w:r>
    </w:p>
    <w:p>
      <w:pPr>
        <w:pStyle w:val="0"/>
        <w:widowControl w:val="off"/>
      </w:pPr>
      <w:r>
        <w:rPr/>
        <w:t>&lt;drawing&gt; Number of Hospital Beds Ratio</w:t>
      </w:r>
    </w:p>
    <w:p>
      <w:pPr>
        <w:pStyle w:val="0"/>
        <w:widowControl w:val="off"/>
      </w:pPr>
      <w:r>
        <w:rPr/>
        <w:t>&lt;drawing&gt; Number of Hospitals per 10,000 Persons</w:t>
      </w:r>
    </w:p>
    <w:p>
      <w:pPr>
        <w:pStyle w:val="0"/>
        <w:widowControl w:val="off"/>
      </w:pPr>
      <w:r>
        <w:rPr/>
        <w:t>&lt;drawing&gt; Number of Physicians per 10,000 Persons</w:t>
      </w:r>
    </w:p>
    <w:p>
      <w:pPr>
        <w:pStyle w:val="0"/>
        <w:widowControl w:val="off"/>
      </w:pPr>
      <w:r>
        <w:rPr/>
        <w:t>&lt;drawing&gt; Infectious Disease Incidence Rate</w:t>
      </w:r>
    </w:p>
    <w:p>
      <w:pPr>
        <w:pStyle w:val="0"/>
        <w:widowControl w:val="off"/>
      </w:pPr>
      <w:r>
        <w:rPr/>
        <w:t>&lt;drawing&gt; Water Supply Rate</w:t>
      </w:r>
    </w:p>
    <w:p>
      <w:pPr>
        <w:pStyle w:val="0"/>
        <w:widowControl w:val="off"/>
      </w:pPr>
      <w:r>
        <w:rPr/>
        <w:t>&lt;drawing&gt; Daily Average Water Supply per Capita</w:t>
      </w:r>
    </w:p>
    <w:p>
      <w:pPr>
        <w:pStyle w:val="0"/>
        <w:widowControl w:val="off"/>
      </w:pPr>
      <w:r>
        <w:rPr/>
        <w:t>&lt;drawing&gt; Number of Fires per 10,000 Persons</w:t>
      </w:r>
    </w:p>
    <w:p>
      <w:pPr>
        <w:pStyle w:val="0"/>
        <w:widowControl w:val="off"/>
      </w:pPr>
      <w:r>
        <w:rPr/>
        <w:t>&lt;drawing&gt; Waste Recycling Rate</w:t>
      </w:r>
    </w:p>
    <w:p>
      <w:pPr>
        <w:pStyle w:val="0"/>
        <w:widowControl w:val="off"/>
      </w:pPr>
      <w:r>
        <w:rPr/>
        <w:t>&lt;drawing&gt; Daily Waste Generation per 1,000 Persons</w:t>
      </w:r>
    </w:p>
    <w:p>
      <w:pPr>
        <w:pStyle w:val="0"/>
        <w:widowControl w:val="off"/>
      </w:pPr>
      <w:r>
        <w:rPr/>
        <w:t>&lt;drawing&gt; Daily Wastewater Generation per Capita</w:t>
      </w:r>
    </w:p>
    <w:p>
      <w:pPr>
        <w:pStyle w:val="0"/>
        <w:widowControl w:val="off"/>
      </w:pPr>
      <w:r>
        <w:rPr/>
        <w:t>&lt;drawing&gt; Sewer System Supply Rate</w:t>
      </w:r>
    </w:p>
    <w:p>
      <w:pPr>
        <w:pStyle w:val="0"/>
        <w:widowControl w:val="off"/>
      </w:pPr>
      <w:r>
        <w:rPr/>
        <w:t>&lt;drawing&gt; Number of Social Welfare Institutions per 1,000 Persons</w:t>
      </w:r>
    </w:p>
    <w:p>
      <w:pPr>
        <w:pStyle w:val="0"/>
        <w:widowControl w:val="off"/>
      </w:pPr>
      <w:r>
        <w:rPr/>
        <w:t>&lt;drawing&gt; Number of Childcare Facilities per 1,000 Persons</w:t>
      </w:r>
    </w:p>
    <w:p>
      <w:pPr>
        <w:pStyle w:val="0"/>
        <w:widowControl w:val="off"/>
      </w:pPr>
      <w:r>
        <w:rPr/>
        <w:t>&lt;drawing&gt; Number of Children in Childcare per 1,000 Persons</w:t>
      </w:r>
    </w:p>
    <w:p>
      <w:pPr>
        <w:pStyle w:val="0"/>
        <w:widowControl w:val="off"/>
      </w:pPr>
      <w:r>
        <w:rPr/>
        <w:t>&lt;drawing&gt; Ratio of Basic Livelihood Security Recipients</w:t>
      </w:r>
    </w:p>
    <w:p>
      <w:pPr>
        <w:pStyle w:val="0"/>
        <w:widowControl w:val="off"/>
      </w:pPr>
      <w:r>
        <w:rPr/>
        <w:t>&lt;drawing&gt; Number of College Students per 1,000 Persons</w:t>
      </w:r>
    </w:p>
    <w:p>
      <w:pPr>
        <w:pStyle w:val="0"/>
        <w:widowControl w:val="off"/>
      </w:pPr>
      <w:r>
        <w:rPr/>
        <w:t>&lt;drawing&gt; Number of Colleges</w:t>
      </w:r>
    </w:p>
    <w:p>
      <w:pPr>
        <w:pStyle w:val="0"/>
        <w:widowControl w:val="off"/>
      </w:pPr>
      <w:r>
        <w:rPr/>
        <w:t>&lt;drawing&gt; Number of Art Galleries</w:t>
      </w:r>
    </w:p>
    <w:p>
      <w:pPr>
        <w:pStyle w:val="0"/>
        <w:widowControl w:val="off"/>
      </w:pPr>
      <w:r>
        <w:rPr/>
        <w:t>&lt;drawing&gt; Number of Museums</w:t>
      </w:r>
    </w:p>
    <w:p>
      <w:pPr>
        <w:pStyle w:val="0"/>
        <w:widowControl w:val="off"/>
      </w:pPr>
      <w:r>
        <w:rPr/>
        <w:t>&lt;drawing&gt; Number of Libraries</w:t>
      </w: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2017-05-18T04:58:47.240</dcterms:modified>
  <cp:version>0500.0500.01</cp:version>
</cp:coreProperties>
</file>